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731D" w:rsidRPr="00F559B0" w:rsidRDefault="0075731D" w:rsidP="00F559B0">
      <w:pPr>
        <w:overflowPunct w:val="0"/>
        <w:snapToGrid w:val="0"/>
        <w:spacing w:line="360" w:lineRule="auto"/>
        <w:jc w:val="center"/>
        <w:rPr>
          <w:rFonts w:ascii="Times New Roman" w:eastAsia="黑体" w:hAnsi="Times New Roman" w:cs="Times New Roman"/>
          <w:b/>
          <w:sz w:val="44"/>
        </w:rPr>
      </w:pPr>
      <w:r w:rsidRPr="00F559B0">
        <w:rPr>
          <w:rFonts w:ascii="Times New Roman" w:eastAsia="黑体" w:hAnsi="Times New Roman" w:cs="Times New Roman"/>
          <w:b/>
          <w:sz w:val="44"/>
        </w:rPr>
        <w:t>北京市</w:t>
      </w:r>
      <w:r w:rsidRPr="00F559B0">
        <w:rPr>
          <w:rFonts w:ascii="Times New Roman" w:eastAsia="黑体" w:hAnsi="Times New Roman" w:cs="Times New Roman"/>
          <w:b/>
          <w:sz w:val="44"/>
        </w:rPr>
        <w:t>2</w:t>
      </w:r>
      <w:bookmarkStart w:id="0" w:name="_GoBack"/>
      <w:bookmarkEnd w:id="0"/>
      <w:r w:rsidRPr="00F559B0">
        <w:rPr>
          <w:rFonts w:ascii="Times New Roman" w:eastAsia="黑体" w:hAnsi="Times New Roman" w:cs="Times New Roman"/>
          <w:b/>
          <w:sz w:val="44"/>
        </w:rPr>
        <w:t>025</w:t>
      </w:r>
      <w:r w:rsidRPr="00F559B0">
        <w:rPr>
          <w:rFonts w:ascii="Times New Roman" w:eastAsia="黑体" w:hAnsi="Times New Roman" w:cs="Times New Roman"/>
          <w:b/>
          <w:sz w:val="44"/>
        </w:rPr>
        <w:t>年普通高中学业水平等级性考试</w:t>
      </w:r>
    </w:p>
    <w:p w:rsidR="0075731D" w:rsidRPr="002A0AF6" w:rsidRDefault="0075731D" w:rsidP="00F559B0">
      <w:pPr>
        <w:overflowPunct w:val="0"/>
        <w:snapToGrid w:val="0"/>
        <w:spacing w:line="360" w:lineRule="auto"/>
        <w:jc w:val="center"/>
        <w:rPr>
          <w:rFonts w:ascii="Times New Roman" w:eastAsia="黑体" w:hAnsi="Times New Roman" w:cs="Times New Roman"/>
          <w:b/>
          <w:sz w:val="44"/>
        </w:rPr>
      </w:pPr>
      <w:r w:rsidRPr="002A0AF6">
        <w:rPr>
          <w:rFonts w:ascii="Times New Roman" w:eastAsia="黑体" w:hAnsi="Times New Roman" w:cs="Times New Roman"/>
          <w:b/>
          <w:sz w:val="44"/>
        </w:rPr>
        <w:t>政　治</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000000" w:themeColor="text1"/>
          <w:sz w:val="24"/>
        </w:rPr>
        <w:t>一、选择题：共</w:t>
      </w:r>
      <w:r w:rsidRPr="002A0AF6">
        <w:rPr>
          <w:rFonts w:ascii="Times New Roman" w:eastAsia="黑体" w:hAnsi="Times New Roman" w:cs="Times New Roman"/>
          <w:b/>
          <w:color w:val="000000" w:themeColor="text1"/>
          <w:sz w:val="24"/>
        </w:rPr>
        <w:t>15</w:t>
      </w:r>
      <w:r w:rsidRPr="002A0AF6">
        <w:rPr>
          <w:rFonts w:ascii="Times New Roman" w:eastAsia="黑体" w:hAnsi="Times New Roman" w:cs="Times New Roman"/>
          <w:b/>
          <w:color w:val="000000" w:themeColor="text1"/>
          <w:sz w:val="24"/>
        </w:rPr>
        <w:t>题，每题</w:t>
      </w:r>
      <w:r w:rsidRPr="002A0AF6">
        <w:rPr>
          <w:rFonts w:ascii="Times New Roman" w:eastAsia="黑体" w:hAnsi="Times New Roman" w:cs="Times New Roman"/>
          <w:b/>
          <w:color w:val="000000" w:themeColor="text1"/>
          <w:sz w:val="24"/>
        </w:rPr>
        <w:t>3</w:t>
      </w:r>
      <w:r w:rsidRPr="002A0AF6">
        <w:rPr>
          <w:rFonts w:ascii="Times New Roman" w:eastAsia="黑体" w:hAnsi="Times New Roman" w:cs="Times New Roman"/>
          <w:b/>
          <w:color w:val="000000" w:themeColor="text1"/>
          <w:sz w:val="24"/>
        </w:rPr>
        <w:t>分，共</w:t>
      </w:r>
      <w:r w:rsidRPr="002A0AF6">
        <w:rPr>
          <w:rFonts w:ascii="Times New Roman" w:eastAsia="黑体" w:hAnsi="Times New Roman" w:cs="Times New Roman"/>
          <w:b/>
          <w:color w:val="000000" w:themeColor="text1"/>
          <w:sz w:val="24"/>
        </w:rPr>
        <w:t>45</w:t>
      </w:r>
      <w:r w:rsidRPr="002A0AF6">
        <w:rPr>
          <w:rFonts w:ascii="Times New Roman" w:eastAsia="黑体" w:hAnsi="Times New Roman" w:cs="Times New Roman"/>
          <w:b/>
          <w:color w:val="000000" w:themeColor="text1"/>
          <w:sz w:val="24"/>
        </w:rPr>
        <w:t>分。在每题列出的四个选项中，选出最符合题目要求的一项。</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r w:rsidR="002A0AF6" w:rsidRPr="002A0AF6">
        <w:rPr>
          <w:rFonts w:ascii="Times New Roman" w:eastAsia="宋体" w:hAnsi="Times New Roman" w:cs="Times New Roman"/>
          <w:b/>
          <w:color w:val="000000" w:themeColor="text1"/>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0"/>
        <w:gridCol w:w="1180"/>
        <w:gridCol w:w="1662"/>
        <w:gridCol w:w="1180"/>
        <w:gridCol w:w="1180"/>
      </w:tblGrid>
      <w:tr w:rsidR="002A0AF6" w:rsidRPr="002A0AF6" w:rsidTr="002A0AF6">
        <w:trPr>
          <w:jc w:val="center"/>
        </w:trPr>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红色地标</w:t>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伟大觉醒</w:t>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中流砥柱</w:t>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红色黎明</w:t>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进京赶考</w:t>
            </w:r>
          </w:p>
        </w:tc>
      </w:tr>
      <w:tr w:rsidR="002A0AF6" w:rsidRPr="002A0AF6" w:rsidTr="002A0AF6">
        <w:trPr>
          <w:jc w:val="center"/>
        </w:trPr>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"25BJZ-1.tif"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\\25BJZ-1.tif"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\\25BJZ-1.tif"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\\25BJZ-1.tif"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5pt;height:49.45pt">
                  <v:imagedata r:id="rId6" r:href="rId7"/>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"25BJZ-2.tif"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\\25BJZ-2.tif"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\\25BJZ-2.tif"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\\25BJZ-2.tif"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26" type="#_x0000_t75" style="width:37.05pt;height:49.45pt">
                  <v:imagedata r:id="rId8" r:href="rId9"/>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"25BJZ-3.tif"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\\25BJZ-3.tif"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\\25BJZ-3.tif"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\\25BJZ-3.tif"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pict>
                <v:shape id="_x0000_i1027" type="#_x0000_t75" style="width:48.9pt;height:49.45pt">
                  <v:imagedata r:id="rId10" r:href="rId11"/>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"25BJZ-4.tif"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\\25BJZ-4.tif"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\\25BJZ-4.tif"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\\25BJZ-4.tif"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pict>
                <v:shape id="_x0000_i1028" type="#_x0000_t75" style="width:47.3pt;height:49.45pt">
                  <v:imagedata r:id="rId12" r:href="rId13"/>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tc>
        <w:tc>
          <w:tcPr>
            <w:tcW w:w="0" w:type="auto"/>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"25BJZ-5.tif"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\\25BJZ-5.tif"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\\25BJZ-5.tif"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\\25BJZ-5.tif"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pict>
                <v:shape id="_x0000_i1029" type="#_x0000_t75" style="width:36.55pt;height:49.45pt">
                  <v:imagedata r:id="rId14" r:href="rId15"/>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tc>
      </w:tr>
      <w:tr w:rsidR="002A0AF6" w:rsidRPr="002A0AF6" w:rsidTr="002A0AF6">
        <w:trPr>
          <w:jc w:val="center"/>
        </w:trPr>
        <w:tc>
          <w:tcPr>
            <w:tcW w:w="0" w:type="auto"/>
            <w:shd w:val="clear" w:color="auto" w:fill="auto"/>
            <w:vAlign w:val="center"/>
          </w:tcPr>
          <w:p w:rsid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人民英雄</w:t>
            </w:r>
          </w:p>
          <w:p w:rsidR="002A0AF6" w:rsidRP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纪念碑</w:t>
            </w:r>
          </w:p>
        </w:tc>
        <w:tc>
          <w:tcPr>
            <w:tcW w:w="0" w:type="auto"/>
            <w:shd w:val="clear" w:color="auto" w:fill="auto"/>
            <w:vAlign w:val="center"/>
          </w:tcPr>
          <w:p w:rsid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北京大学</w:t>
            </w:r>
          </w:p>
          <w:p w:rsidR="002A0AF6" w:rsidRP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红楼</w:t>
            </w:r>
          </w:p>
        </w:tc>
        <w:tc>
          <w:tcPr>
            <w:tcW w:w="0" w:type="auto"/>
            <w:shd w:val="clear" w:color="auto" w:fill="auto"/>
            <w:vAlign w:val="center"/>
          </w:tcPr>
          <w:p w:rsid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焦庄户地道</w:t>
            </w:r>
          </w:p>
          <w:p w:rsidR="002A0AF6" w:rsidRP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战遗址纪念馆</w:t>
            </w:r>
          </w:p>
        </w:tc>
        <w:tc>
          <w:tcPr>
            <w:tcW w:w="0" w:type="auto"/>
            <w:shd w:val="clear" w:color="auto" w:fill="auto"/>
            <w:vAlign w:val="center"/>
          </w:tcPr>
          <w:p w:rsid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昌平烈</w:t>
            </w:r>
          </w:p>
          <w:p w:rsidR="002A0AF6" w:rsidRP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士陵园</w:t>
            </w:r>
          </w:p>
        </w:tc>
        <w:tc>
          <w:tcPr>
            <w:tcW w:w="0" w:type="auto"/>
            <w:shd w:val="clear" w:color="auto" w:fill="auto"/>
            <w:vAlign w:val="center"/>
          </w:tcPr>
          <w:p w:rsid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颐和园</w:t>
            </w:r>
          </w:p>
          <w:p w:rsidR="002A0AF6" w:rsidRPr="002A0AF6" w:rsidRDefault="002A0AF6"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益寿堂</w:t>
            </w:r>
          </w:p>
        </w:tc>
      </w:tr>
    </w:tbl>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年春天，</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红色</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记忆</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北京革命旧址和纪念设施手绘作品展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部分作品如图所示</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对观众开放，展出的作品全部由青年学生精心绘制，以</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红色地标、伟大觉醒、中流砥柱、红色黎明、进京赶考</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5</w:t>
      </w:r>
      <w:r w:rsidRPr="002A0AF6">
        <w:rPr>
          <w:rFonts w:ascii="Times New Roman" w:eastAsia="宋体" w:hAnsi="Times New Roman" w:cs="Times New Roman"/>
          <w:b/>
          <w:color w:val="000000" w:themeColor="text1"/>
          <w:sz w:val="24"/>
        </w:rPr>
        <w:t>个板块重现百年大党的光辉历程。展出的手绘作品</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传承中国革命事业的精神</w:t>
      </w:r>
      <w:r w:rsidRPr="002A0AF6">
        <w:rPr>
          <w:rFonts w:ascii="Times New Roman" w:eastAsia="宋体" w:hAnsi="Times New Roman" w:cs="Times New Roman" w:hint="eastAsia"/>
          <w:b/>
          <w:color w:val="000000" w:themeColor="text1"/>
          <w:sz w:val="24"/>
        </w:rPr>
        <w:t xml:space="preserve">血脉，展现了党和人民共同谱写的奋斗乐章　</w:t>
      </w: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以社会主义制度的创立和发展为主线，介绍具有地域特色的文化资源</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 xml:space="preserve">复原了革命原址的文化价值，成为百年红色记忆版图的重要组成部分　</w:t>
      </w: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用青春之画笔描绘党的初心和使命，激励青年在新时代继续砥砺前行</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①③</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②④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材料中的展出作品以中国共产党在新民主主义革命时期的革命历程为主线，并非以社会主义制度的创立和发展为主线，</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错误。手绘作品是对革命原址文化价值的艺术呈现与传承，并不能复</w:t>
      </w:r>
      <w:r w:rsidRPr="002A0AF6">
        <w:rPr>
          <w:rFonts w:ascii="Times New Roman" w:eastAsia="楷体" w:hAnsi="Times New Roman" w:cs="Times New Roman" w:hint="eastAsia"/>
          <w:b/>
          <w:color w:val="000000" w:themeColor="text1"/>
          <w:sz w:val="24"/>
        </w:rPr>
        <w:t>原革命原址的文化价值，</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．近年来，北京市中小学在综合实践活动课程方面展开创新尝试：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泥土里长出了课程</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，学生在种花种草时观察植物生长，在磨豆腐时预估产量；学校周边公园化身为</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乐学公园</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，学生一起绘制公园地图、参与公园规划。通过这些活动，学生可以</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lastRenderedPageBreak/>
        <w:t>①</w:t>
      </w:r>
      <w:r w:rsidRPr="002A0AF6">
        <w:rPr>
          <w:rFonts w:ascii="Times New Roman" w:eastAsia="宋体" w:hAnsi="Times New Roman" w:cs="Times New Roman"/>
          <w:b/>
          <w:color w:val="000000" w:themeColor="text1"/>
          <w:sz w:val="24"/>
        </w:rPr>
        <w:t xml:space="preserve">在解决问题的实践中，深化对知识的理解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积累生活经验，用形象思维揭示事物的本质和规律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在跨学科的学习体验中，提升解决复杂问题的能力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在问题导向的情境任务中，突破思维能力的限制</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学生在种花种草、磨豆腐、绘制公园地图等实践活动中，运用已有知识解决实际问题，能深化对知识的理解，</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正确。综合实践活动涉及多学科知识，如种花种草涉及生物知识，绘制公园地图涉及地理等知识，学生在跨学科学习体验中，能提升解决复杂问题的能力，</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正确。揭示事物的本质和规律的是抽象思维，而非形象思维，</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错误。这些活动能锻炼学生的思维能力，但不能突破思维能力的限制，思维能力受多种因素制约且是逐步发展的，</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3</w:t>
      </w:r>
      <w:r w:rsidRPr="002A0AF6">
        <w:rPr>
          <w:rFonts w:ascii="Times New Roman" w:eastAsia="宋体" w:hAnsi="Times New Roman" w:cs="Times New Roman"/>
          <w:b/>
          <w:color w:val="000000" w:themeColor="text1"/>
          <w:sz w:val="24"/>
        </w:rPr>
        <w:t>．杏花春雨、大漠孤</w:t>
      </w:r>
      <w:r w:rsidRPr="002A0AF6">
        <w:rPr>
          <w:rFonts w:ascii="Times New Roman" w:eastAsia="宋体" w:hAnsi="Times New Roman" w:cs="Times New Roman" w:hint="eastAsia"/>
          <w:b/>
          <w:color w:val="000000" w:themeColor="text1"/>
          <w:sz w:val="24"/>
        </w:rPr>
        <w:t>烟、小桥流水、长河落日</w:t>
      </w:r>
      <w:r w:rsidRPr="002A0AF6">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品味这些流动在古诗词中的意象，赏其美、品其意、传其神，要能够</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以我之诗心，鉴照古人之诗心</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。这里的</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鉴照</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说明</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古今诗心相映，符合同一律的思维要求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古诗词有满足今人精神需要的功能和属性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千秋一寸心，文化可以跨越时空使人心灵相通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中华文明具有突出的连续性和统一性，可以实现物我融合</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同一律要求人们在同一思维过程中，每一思想必须保持自身同一</w:t>
      </w:r>
      <w:r w:rsidRPr="002A0AF6">
        <w:rPr>
          <w:rFonts w:ascii="Times New Roman" w:eastAsia="楷体" w:hAnsi="Times New Roman" w:cs="Times New Roman" w:hint="eastAsia"/>
          <w:b/>
          <w:color w:val="000000" w:themeColor="text1"/>
          <w:sz w:val="24"/>
        </w:rPr>
        <w:t>性。</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古今诗心相映</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体现的是文化传承与心灵共鸣，并不符合同一律的思维要求，</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错误。今人能品味古诗词中的意象，赏其美、品其意、传其神，这说明古诗词有满足今人精神需要的功能和属性，</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以我之诗心，鉴照古人之诗心</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，体现了文化可以跨越时空使人心灵相通，虽隔千秋，但诗心可共鸣，</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正确。材料强调的是古今诗心的共鸣，未体现中华文明突出的连续性和统一性以及物我融合，</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．广袤的野鸭湖湿地里，全新启用的</w:t>
      </w:r>
      <w:r w:rsidRPr="002A0AF6">
        <w:rPr>
          <w:rFonts w:ascii="Times New Roman" w:eastAsia="宋体" w:hAnsi="Times New Roman" w:cs="Times New Roman"/>
          <w:b/>
          <w:color w:val="000000" w:themeColor="text1"/>
          <w:sz w:val="24"/>
        </w:rPr>
        <w:t>AI</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鹰眼</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鸟类监测系统如同敏锐的猎手，一旦有鸟类进入视野，便能快速识别它们的种类、数量和行为信</w:t>
      </w:r>
      <w:r w:rsidRPr="002A0AF6">
        <w:rPr>
          <w:rFonts w:ascii="Times New Roman" w:eastAsia="宋体" w:hAnsi="Times New Roman" w:cs="Times New Roman" w:hint="eastAsia"/>
          <w:b/>
          <w:color w:val="000000" w:themeColor="text1"/>
          <w:sz w:val="24"/>
        </w:rPr>
        <w:t>息，为生态保护工作提供有力的数据和技术支持。该</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鹰眼</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系统</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002A0AF6"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可以获取鸟群的鲜活印象，是感性认识的最终目的</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．重现鸟群的外部联系，实现了从感觉向表象的跃升</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．激发人的主观能动性，给鸟类活动打上了人的烙印</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．延伸了人的认识器官，有助于把握鸟类活动的规律</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AI</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鹰眼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系统作为人类的认识工具，能够快速获取鸟类活动的细节数据，帮助科研人员更全面地把握鸟类活动规律，</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正确。感性认识的最终目的是上升到理性认识并</w:t>
      </w:r>
      <w:r w:rsidRPr="002A0AF6">
        <w:rPr>
          <w:rFonts w:ascii="Times New Roman" w:eastAsia="楷体" w:hAnsi="Times New Roman" w:cs="Times New Roman" w:hint="eastAsia"/>
          <w:b/>
          <w:color w:val="000000" w:themeColor="text1"/>
          <w:sz w:val="24"/>
        </w:rPr>
        <w:t>指导实践，而非获取鲜活印象，</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AI</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鹰眼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系统通过技术识别鸟类种类、数量等，属于对鸟类特征的理性分析，并非单纯的感觉或表象层面的跃升，</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错误。人的主观能动性体现在设计和使用</w:t>
      </w:r>
      <w:r w:rsidRPr="002A0AF6">
        <w:rPr>
          <w:rFonts w:ascii="Times New Roman" w:eastAsia="楷体" w:hAnsi="Times New Roman" w:cs="Times New Roman"/>
          <w:b/>
          <w:color w:val="000000" w:themeColor="text1"/>
          <w:sz w:val="24"/>
        </w:rPr>
        <w:t>AI</w:t>
      </w:r>
      <w:r w:rsidRPr="002A0AF6">
        <w:rPr>
          <w:rFonts w:ascii="Times New Roman" w:eastAsia="楷体" w:hAnsi="Times New Roman" w:cs="Times New Roman"/>
          <w:b/>
          <w:color w:val="000000" w:themeColor="text1"/>
          <w:sz w:val="24"/>
        </w:rPr>
        <w:t>技术上，而非该系统本身激发人的主观能动性，</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5</w:t>
      </w:r>
      <w:r w:rsidRPr="002A0AF6">
        <w:rPr>
          <w:rFonts w:ascii="Times New Roman" w:eastAsia="宋体" w:hAnsi="Times New Roman" w:cs="Times New Roman"/>
          <w:b/>
          <w:color w:val="000000" w:themeColor="text1"/>
          <w:sz w:val="24"/>
        </w:rPr>
        <w:t>．近年来，北京市的水生态保护工作成效斐然，全市八成以上水体达到了健康等级。曾经在山区清洁水体中才能见到的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五彩鱼</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家族</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宽鳍鱲</w:t>
      </w:r>
      <w:r w:rsidRPr="002A0AF6">
        <w:rPr>
          <w:rFonts w:ascii="Times New Roman" w:eastAsia="宋体" w:hAnsi="Times New Roman" w:cs="Times New Roman"/>
          <w:b/>
          <w:color w:val="000000" w:themeColor="text1"/>
          <w:sz w:val="24"/>
        </w:rPr>
        <w:t>(liè)</w:t>
      </w:r>
      <w:r w:rsidRPr="002A0AF6">
        <w:rPr>
          <w:rFonts w:ascii="Times New Roman" w:eastAsia="宋体" w:hAnsi="Times New Roman" w:cs="Times New Roman"/>
          <w:b/>
          <w:color w:val="000000" w:themeColor="text1"/>
          <w:sz w:val="24"/>
        </w:rPr>
        <w:t>、马口鱼和黑鳍鳈</w:t>
      </w:r>
      <w:r w:rsidRPr="002A0AF6">
        <w:rPr>
          <w:rFonts w:ascii="Times New Roman" w:eastAsia="宋体" w:hAnsi="Times New Roman" w:cs="Times New Roman"/>
          <w:b/>
          <w:color w:val="000000" w:themeColor="text1"/>
          <w:sz w:val="24"/>
        </w:rPr>
        <w:t>(quán)</w:t>
      </w:r>
      <w:r w:rsidRPr="002A0AF6">
        <w:rPr>
          <w:rFonts w:ascii="Times New Roman" w:eastAsia="宋体" w:hAnsi="Times New Roman" w:cs="Times New Roman"/>
          <w:b/>
          <w:color w:val="000000" w:themeColor="text1"/>
          <w:sz w:val="24"/>
        </w:rPr>
        <w:t>等，如今成了城区河段的常客。运用演绎推理方法，从图中的三个性质判断</w:t>
      </w:r>
      <w:r w:rsidRPr="002A0AF6">
        <w:rPr>
          <w:rFonts w:ascii="Times New Roman" w:eastAsia="宋体" w:hAnsi="Times New Roman" w:cs="Times New Roman" w:hint="eastAsia"/>
          <w:b/>
          <w:color w:val="000000" w:themeColor="text1"/>
          <w:sz w:val="24"/>
        </w:rPr>
        <w:t>可以推出</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"25BJZ-6.tif"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\\25BJZ-6.tif"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\\25BJZ-6.tif"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w:instrText>
      </w:r>
      <w:r w:rsidR="00807D05">
        <w:rPr>
          <w:rFonts w:ascii="Times New Roman" w:eastAsia="宋体" w:hAnsi="Times New Roman" w:cs="Times New Roman" w:hint="eastAsia"/>
          <w:b/>
          <w:color w:val="000000" w:themeColor="text1"/>
          <w:sz w:val="24"/>
        </w:rPr>
        <w:instrText>JZ-6.tif"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0" type="#_x0000_t75" style="width:192.35pt;height:133.25pt">
            <v:imagedata r:id="rId16" r:href="rId17"/>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．有些五彩鱼不是黑鳍鳈</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．所有的五彩鱼都是水生生物</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．有些水生生物栖息在城区河段，或有些水生生物是黑鳍鳈</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．有些五彩鱼栖息在城区河段，且有些五彩鱼是黑鳍鳈</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或</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可知，</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是一个相容选言判断。一个相容选言判断是真的，要求它的选言支中至少有一个是真的，也可以都是真的。由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有些黑鳍鳈栖息在城区河段</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所有的黑鳍鳈都是五彩鱼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，可以推出有些五彩鱼栖息在城区河段，也就是</w:t>
      </w:r>
      <w:r w:rsidRPr="002A0AF6">
        <w:rPr>
          <w:rFonts w:ascii="Times New Roman" w:eastAsia="楷体" w:hAnsi="Times New Roman" w:cs="Times New Roman" w:hint="eastAsia"/>
          <w:b/>
          <w:color w:val="000000" w:themeColor="text1"/>
          <w:sz w:val="24"/>
        </w:rPr>
        <w:t>有些水生生物栖息在城区河段；由</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所有的黑鳍鳈都是五彩鱼</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可以推出有些水生生物是黑鳍鳈。据此可以推出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有些水生生物栖息在城区河段，或有些水生生物是黑鳍鳈</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正确。将</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所有的黑鳍鳈都是五彩鱼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进行换位推理可推出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有些五彩鱼是黑鳍鳈</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，再进行换质推理可推出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有些五彩鱼不是非黑鳍鳈</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错误。由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所有的黑鳍鳈都是五彩鱼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有些水生生物不是五彩鱼</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，不能推出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所有的五彩鱼都是水生生物</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，存在有些五彩鱼不是水生生物的可能，</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不选。由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且</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可知，</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是一个联言判断。在联言判断中，当且仅当，组成它的各个联言支都是真的，这</w:t>
      </w:r>
      <w:r w:rsidRPr="002A0AF6">
        <w:rPr>
          <w:rFonts w:ascii="Times New Roman" w:eastAsia="楷体" w:hAnsi="Times New Roman" w:cs="Times New Roman" w:hint="eastAsia"/>
          <w:b/>
          <w:color w:val="000000" w:themeColor="text1"/>
          <w:sz w:val="24"/>
        </w:rPr>
        <w:t>个联言判断才是真的。根据</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有些黑鳍鳈栖息在城区河段</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所有的黑鳍鳈都是五彩鱼</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可以推出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有些五彩鱼栖息在城区河段</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，根据</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所有的黑鳍鳈都是五彩鱼</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可以推出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有些五彩鱼是黑鳍鳈</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，但不能必然推出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有些五彩鱼栖息在城区河段</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有些五彩鱼是黑鳍鳈</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同时为真，</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排除。</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．葱，与中国人相伴数千年，无数菜肴的调味都少不了一把</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灵魂小葱</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。从餐盘跃上纸张，葱又成为美好的文化象征。我们用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葱指</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形容纤纤玉手，用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葱茏</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吟诵田园山色，用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青葱</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赞美青春。葱的美好象征</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．表明反向思考的方法可以打</w:t>
      </w:r>
      <w:r w:rsidRPr="002A0AF6">
        <w:rPr>
          <w:rFonts w:ascii="Times New Roman" w:eastAsia="宋体" w:hAnsi="Times New Roman" w:cs="Times New Roman" w:hint="eastAsia"/>
          <w:b/>
          <w:color w:val="000000" w:themeColor="text1"/>
          <w:sz w:val="24"/>
        </w:rPr>
        <w:t>破葱单一性质的局限</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说明思维可以把对葱的感性具体转化为思维抽象</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．源自对葱的实际用途和外在形象的类比推理</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．体现了从</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青春</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到</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青葱</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的辩证否定过程</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感性具体的认识是一种直观的整体表象，是事物多种多样的现象和外部联系在头脑中的反映。思维抽象是指从多样性统一的事物整体中抽取某一方面的本质规定，或者从其个性中抽取共性的思维活动。材料中人们以葱的形状、实际用途等感性认识为基础，形成了</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葱指</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葱茏</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青葱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等对葱的文化象征的思维抽象，说明</w:t>
      </w:r>
      <w:r w:rsidRPr="002A0AF6">
        <w:rPr>
          <w:rFonts w:ascii="Times New Roman" w:eastAsia="楷体" w:hAnsi="Times New Roman" w:cs="Times New Roman" w:hint="eastAsia"/>
          <w:b/>
          <w:color w:val="000000" w:themeColor="text1"/>
          <w:sz w:val="24"/>
        </w:rPr>
        <w:t>思维可以把对葱的感性具体转化为思维抽象，</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正确。反向思考是指从已知事物的相反方向进行思考，以寻求解决问题的新途径、新方法，而材料是从葱的形状、实际用途等延伸到葱的文化象征，这并非反向思考，也没有打破葱单一性质的局限，</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不选。葱的美好象征并不是源自类比推理，而是源自人的实践，且葱的美好象征运用了比喻的修辞手法，并没有运用类比推理，</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错误。辩证否定是事物自身的否定，是自己否定自己，自己发展自己，其实质是</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扬弃</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青春</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到</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青葱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是一种象征联想，而不是辩证否定过程，</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排除。</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7</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w:t>
      </w: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月</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日</w:t>
      </w:r>
      <w:r w:rsidRPr="002A0AF6">
        <w:rPr>
          <w:rFonts w:ascii="Times New Roman" w:eastAsia="宋体" w:hAnsi="Times New Roman" w:cs="Times New Roman" w:hint="eastAsia"/>
          <w:b/>
          <w:color w:val="000000" w:themeColor="text1"/>
          <w:sz w:val="24"/>
        </w:rPr>
        <w:t>，教育部、国家语委、中央网信办共同印发《关于加强数字中文建设　推进语言文字信息化发展的意见》。数字中文建设通过</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语料库构建</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和</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语料数字化</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，推动中文从</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信息载体</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向</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生产要素</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转型，全力服务教育强国、科技强国和文化强国建设。数字中文建设</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．将改变判断的语言形式，有利于通过逻辑训练提升思维能力</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．可以用系统化、数字化的语词把知识巩固下来，形成新概念</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．通过联想思维对中文载体进行交换性思考，转化为生产要素</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．需要运用超前思维引领未来，提前部署语言资源和关键技术</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材料强调数字中文建设通过</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语料库构建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语料数字化</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，推动中文从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信息载体</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向</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生产要素</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转型，全力服务教育强国、科技强国和文化强国建设，这表明数字中文建设需要运用超前思维引领未来，提前部署语言资源和关键技术，</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正确。数字中文建设可以推进语言文字信息化，但数字中文建设并不能改变判断的语言形式，且材料也没有涉及通过逻辑训练提升思维能力，</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排除。材料强调数字中文建设推动中文从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信息载体</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向</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生产要素</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转型，全力服务教育强国、科技强国和文化强国建设，没有体现用系统化</w:t>
      </w:r>
      <w:r w:rsidRPr="002A0AF6">
        <w:rPr>
          <w:rFonts w:ascii="Times New Roman" w:eastAsia="楷体" w:hAnsi="Times New Roman" w:cs="Times New Roman" w:hint="eastAsia"/>
          <w:b/>
          <w:color w:val="000000" w:themeColor="text1"/>
          <w:sz w:val="24"/>
        </w:rPr>
        <w:t>、数字化的语词把知识巩固下来，形成新概念，</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不符合题意。材料指出要通过</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语料库构建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和</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语料数字化</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，推动中文从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信息载体</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向</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生产要素</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转型，这并非简单地对中文载体进行交换性思考，且</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对中文载体进行交换性思考</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属于逆向思维，而不是联想思维，</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排除。</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．在我国边疆一个多民族聚居的村庄，人们传唱着喀喇沁旗原创歌曲《石榴千籽同心聚》：</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同顶一片天，脚踏一方地。五十六族兄弟姐妹根脉连一起，你帮助我，我支持你</w:t>
      </w:r>
      <w:r w:rsidRPr="002A0AF6">
        <w:rPr>
          <w:rFonts w:ascii="宋体" w:eastAsia="宋体" w:hAnsi="宋体" w:cs="Times New Roman"/>
          <w:b/>
          <w:color w:val="000000" w:themeColor="text1"/>
          <w:sz w:val="24"/>
        </w:rPr>
        <w:t>……</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。村里现有</w:t>
      </w:r>
      <w:r w:rsidRPr="002A0AF6">
        <w:rPr>
          <w:rFonts w:ascii="Times New Roman" w:eastAsia="宋体" w:hAnsi="Times New Roman" w:cs="Times New Roman"/>
          <w:b/>
          <w:color w:val="000000" w:themeColor="text1"/>
          <w:sz w:val="24"/>
        </w:rPr>
        <w:t>40</w:t>
      </w:r>
      <w:r w:rsidRPr="002A0AF6">
        <w:rPr>
          <w:rFonts w:ascii="Times New Roman" w:eastAsia="宋体" w:hAnsi="Times New Roman" w:cs="Times New Roman"/>
          <w:b/>
          <w:color w:val="000000" w:themeColor="text1"/>
          <w:sz w:val="24"/>
        </w:rPr>
        <w:t>名党员，他们带领村民们共建美好家园；在村党群服务中心的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四点半课堂</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上，老</w:t>
      </w:r>
      <w:r w:rsidRPr="002A0AF6">
        <w:rPr>
          <w:rFonts w:ascii="Times New Roman" w:eastAsia="宋体" w:hAnsi="Times New Roman" w:cs="Times New Roman" w:hint="eastAsia"/>
          <w:b/>
          <w:color w:val="000000" w:themeColor="text1"/>
          <w:sz w:val="24"/>
        </w:rPr>
        <w:t>师给孩子们讲述着民族团结的动人佳话；常来常往的</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乌兰牧骑</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在村民委员会前的小广场上，歌颂着各族儿女对党和国家的热爱。这一生动的案例表明</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党领导各族群众推动边疆地区经济社会发展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村民通过村民委员会依法间接行使民主权利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民族团结进步教育有助于加强各民族交往交流交融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历史文化因素是民族区域自治制度设计的重要依据</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B</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村里现有</w:t>
      </w:r>
      <w:r w:rsidRPr="002A0AF6">
        <w:rPr>
          <w:rFonts w:ascii="Times New Roman" w:eastAsia="楷体" w:hAnsi="Times New Roman" w:cs="Times New Roman"/>
          <w:b/>
          <w:color w:val="000000" w:themeColor="text1"/>
          <w:sz w:val="24"/>
        </w:rPr>
        <w:t>40</w:t>
      </w:r>
      <w:r w:rsidRPr="002A0AF6">
        <w:rPr>
          <w:rFonts w:ascii="Times New Roman" w:eastAsia="楷体" w:hAnsi="Times New Roman" w:cs="Times New Roman"/>
          <w:b/>
          <w:color w:val="000000" w:themeColor="text1"/>
          <w:sz w:val="24"/>
        </w:rPr>
        <w:t>名党员，他们带领村民们共建美好家园，这表明</w:t>
      </w:r>
      <w:r w:rsidRPr="002A0AF6">
        <w:rPr>
          <w:rFonts w:ascii="Times New Roman" w:eastAsia="楷体" w:hAnsi="Times New Roman" w:cs="Times New Roman" w:hint="eastAsia"/>
          <w:b/>
          <w:color w:val="000000" w:themeColor="text1"/>
          <w:sz w:val="24"/>
        </w:rPr>
        <w:t>党领导各族群众推动边疆地区经济社会发展，</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正确。在村党群服务中心的</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四点半课堂</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上，老师给孩子们讲述着民族团结的动人佳话，在村民委员会前的小广场上，</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乌兰牧骑</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歌颂着各族儿女对党和国家的热爱，这些民族团结进步教育活动有助于加强各民族交往交流交融，</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正确。村民通过村民委员会依法直接行使民主权利，</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错误。材料主要强调的是党领导下的边疆地区民族团结进步教育活动，并未涉及历史文化因素与民族区域自治制度之间的联系，</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不选。</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9</w:t>
      </w:r>
      <w:r w:rsidRPr="002A0AF6">
        <w:rPr>
          <w:rFonts w:ascii="Times New Roman" w:eastAsia="宋体" w:hAnsi="Times New Roman" w:cs="Times New Roman"/>
          <w:b/>
          <w:color w:val="000000" w:themeColor="text1"/>
          <w:sz w:val="24"/>
        </w:rPr>
        <w:t>．近年来，露营成为北京市民新的休闲方式，赏花、钓鱼、观鸟</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丰富多彩的户外活动吸</w:t>
      </w:r>
      <w:r w:rsidRPr="002A0AF6">
        <w:rPr>
          <w:rFonts w:ascii="Times New Roman" w:eastAsia="宋体" w:hAnsi="Times New Roman" w:cs="Times New Roman" w:hint="eastAsia"/>
          <w:b/>
          <w:color w:val="000000" w:themeColor="text1"/>
          <w:sz w:val="24"/>
        </w:rPr>
        <w:t>引着越来越多的人走进自然，释放消费活力。为引导露营市场的有序发展，北京市相关部门制定了《关于规范引导帐篷露营地发展的意见</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试行</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》。这一文件</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"25BJZ-7.tif"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\\25BJZ-7.tif"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\\25BJZ-7.tif"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\\25BJZ-7.tif"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1" type="#_x0000_t75" style="width:169.8pt;height:207.4pt">
            <v:imagedata r:id="rId18" r:href="rId19"/>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．既规范相关行业行为，也规范政府权力运行</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．充分发挥乡规民约作用，解决基层社会治理难题</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．凸显政府关注新兴领域，旨在规范市民露营行为</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．通过单行条例的规范作用，实现社会自我治理</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《意见》包括正文和附件两部分，正文包括适用范围、基本要</w:t>
      </w:r>
      <w:r w:rsidRPr="002A0AF6">
        <w:rPr>
          <w:rFonts w:ascii="Times New Roman" w:eastAsia="楷体" w:hAnsi="Times New Roman" w:cs="Times New Roman" w:hint="eastAsia"/>
          <w:b/>
          <w:color w:val="000000" w:themeColor="text1"/>
          <w:sz w:val="24"/>
        </w:rPr>
        <w:t>求、组织保障等，附件包括《北京市规范引导帐篷露营地发展工作小组各成员单位工作职责》《帐篷露营地安全防范要求</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试行</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》等，可见，该文件既规范相关行业行为，也规范政府权力运行，</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正确。乡规民约既属于基层群众自治规范，也蕴含着乡村基层社会的道德要求，是构建自治、法治、德治相结合的乡村治理体系的有效抓手，而材料中的文件是由北京市相关部门制定的，并非乡规民约，</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排除。政府制定该文件的目的是引导露营市场的有序发展，释放消费活力，促进经济社会发展，而不仅仅是规范市民露营行为，</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不选。单行条例是指民族自治地方的人民代表大</w:t>
      </w:r>
      <w:r w:rsidRPr="002A0AF6">
        <w:rPr>
          <w:rFonts w:ascii="Times New Roman" w:eastAsia="楷体" w:hAnsi="Times New Roman" w:cs="Times New Roman" w:hint="eastAsia"/>
          <w:b/>
          <w:color w:val="000000" w:themeColor="text1"/>
          <w:sz w:val="24"/>
        </w:rPr>
        <w:t>会在自治权的范围内，根据当地民族的政治、经济和文化特点，制定的关于某一方面具体事项的规范性文件。材料中的文件是北京市相关部门制定的，不属于单行条例，也不是社会自我治理的表现，</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排除。</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10</w:t>
      </w:r>
      <w:r w:rsidRPr="002A0AF6">
        <w:rPr>
          <w:rFonts w:ascii="Times New Roman" w:eastAsia="宋体" w:hAnsi="Times New Roman" w:cs="Times New Roman"/>
          <w:b/>
          <w:color w:val="000000" w:themeColor="text1"/>
          <w:sz w:val="24"/>
        </w:rPr>
        <w:t>．书法家甲将自己书写的一幅具备独创性的春联书法作品</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天泰地泰三阳泰，家和人和万事和</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内容选自清代刻本</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赠与乙以贺新春。乙收到后很喜欢，未经甲授权就将春联上的字整体扫描后完整再现于新开发的文创产品的外观设计，产品十分热销。结合上述事实，下列说法正确的是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．即便甲从未将其书法与产品结合用于申请专</w:t>
      </w:r>
      <w:r w:rsidRPr="002A0AF6">
        <w:rPr>
          <w:rFonts w:ascii="Times New Roman" w:eastAsia="宋体" w:hAnsi="Times New Roman" w:cs="Times New Roman" w:hint="eastAsia"/>
          <w:b/>
          <w:color w:val="000000" w:themeColor="text1"/>
          <w:sz w:val="24"/>
        </w:rPr>
        <w:t>利，乙的行为仍侵害甲的专利权</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春联上的语句属于公共领域的文字作品，乙的行为不侵害甲的著作权</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．春联完成交付后，乙享有春联所有权，乙的行为属于所有权的正常行使</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．甲乙之间成立赠与合同，该合同履行并不转让春联所涉书法作品的著作财产权</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D</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甲将春联赠与乙，甲乙之间便订立了赠与合同。根据著作权法规定，美术等作品原件所有权的转移，不视为作品著作权的转移，因此甲将春联赠与乙并不转让春联所涉书法作品的著作财产权，</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正确。专利权是权利人就特定的发明创造</w:t>
      </w:r>
      <w:r w:rsidRPr="002A0AF6">
        <w:rPr>
          <w:rFonts w:ascii="Times New Roman" w:eastAsia="楷体" w:hAnsi="Times New Roman" w:cs="Times New Roman" w:hint="eastAsia"/>
          <w:b/>
          <w:color w:val="000000" w:themeColor="text1"/>
          <w:sz w:val="24"/>
        </w:rPr>
        <w:t>依法在规定期限内享有的专有权。甲对书写的书法作品享有著作权，乙的行为侵害了甲的著作权而不是专利权，</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错误。虽然春联语句选自清代刻本，但该春联属于公共领域文字，甲书写的春联书法作品具备独创性，属于著作权法保护的美术作品，乙未经甲授权将甲的书法文字用于文创产品外观设计，侵害了甲的著作权，</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错误。春联完成交付后，乙获得了春联的所有权，但所有权的行使不能侵害他人的知识产权。甲虽将春联实物赠与乙，但著作权中的著作财产权</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如复制权等</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并未随所有权转移。乙未经许可将甲的书法文字用于文创产品外观设计，超出了所有权正常行使</w:t>
      </w:r>
      <w:r w:rsidRPr="002A0AF6">
        <w:rPr>
          <w:rFonts w:ascii="Times New Roman" w:eastAsia="楷体" w:hAnsi="Times New Roman" w:cs="Times New Roman" w:hint="eastAsia"/>
          <w:b/>
          <w:color w:val="000000" w:themeColor="text1"/>
          <w:sz w:val="24"/>
        </w:rPr>
        <w:t>范围，侵害了甲的著作权，</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11</w:t>
      </w:r>
      <w:r w:rsidRPr="002A0AF6">
        <w:rPr>
          <w:rFonts w:ascii="Times New Roman" w:eastAsia="宋体" w:hAnsi="Times New Roman" w:cs="Times New Roman"/>
          <w:b/>
          <w:color w:val="000000" w:themeColor="text1"/>
          <w:sz w:val="24"/>
        </w:rPr>
        <w:t>．遗嘱关乎财富与爱的传承，普及遗嘱是社会共同责任。下列说法正确的是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．甲生前先办理了公证遗嘱，临终前又立了一份录像遗嘱，两份遗嘱内容相抵触，应以公证遗嘱为准</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B</w:t>
      </w:r>
      <w:r w:rsidRPr="002A0AF6">
        <w:rPr>
          <w:rFonts w:ascii="Times New Roman" w:eastAsia="宋体" w:hAnsi="Times New Roman" w:cs="Times New Roman"/>
          <w:b/>
          <w:color w:val="000000" w:themeColor="text1"/>
          <w:sz w:val="24"/>
        </w:rPr>
        <w:t>．乙立遗嘱将所有财产留给女儿，则女儿凭该遗嘱继承乙的遗产时不需要承担乙未偿还的债务</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C</w:t>
      </w:r>
      <w:r w:rsidRPr="002A0AF6">
        <w:rPr>
          <w:rFonts w:ascii="Times New Roman" w:eastAsia="宋体" w:hAnsi="Times New Roman" w:cs="Times New Roman"/>
          <w:b/>
          <w:color w:val="000000" w:themeColor="text1"/>
          <w:sz w:val="24"/>
        </w:rPr>
        <w:t>．丙生前仅立有一份遗嘱，但该遗嘱因不符合法定形式要件而被认定无效，则其遗产应按法定继承办理</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．丁立遗嘱表示去世后要将自己收藏的字画赠给美术馆，这属于遗嘱继承</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我国法律尊重遗嘱人的意愿，在有遗嘱的情况下，遗产分配原则上按照遗嘱进行；但若遗嘱无效，则按法定继承办理。丙的遗嘱不符合法定形式要件而被认定无效，其遗产应按法定继承办理，</w:t>
      </w:r>
      <w:r w:rsidRPr="002A0AF6">
        <w:rPr>
          <w:rFonts w:ascii="Times New Roman" w:eastAsia="楷体" w:hAnsi="Times New Roman" w:cs="Times New Roman"/>
          <w:b/>
          <w:color w:val="000000" w:themeColor="text1"/>
          <w:sz w:val="24"/>
        </w:rPr>
        <w:t>C</w:t>
      </w:r>
      <w:r w:rsidRPr="002A0AF6">
        <w:rPr>
          <w:rFonts w:ascii="Times New Roman" w:eastAsia="楷体" w:hAnsi="Times New Roman" w:cs="Times New Roman"/>
          <w:b/>
          <w:color w:val="000000" w:themeColor="text1"/>
          <w:sz w:val="24"/>
        </w:rPr>
        <w:t>正确。根据民法典的规定，公证遗嘱不再具有高于其他遗嘱的效力。遗嘱人可以撤回、变更自己所立的遗嘱。遗嘱人立有内容相抵触的前后数份遗嘱，以最后的遗嘱为准。因此甲临终前的录像遗嘱是最后一份遗嘱，应以其为准，而非以公证遗嘱为准，</w:t>
      </w:r>
      <w:r w:rsidRPr="002A0AF6">
        <w:rPr>
          <w:rFonts w:ascii="Times New Roman" w:eastAsia="楷体" w:hAnsi="Times New Roman" w:cs="Times New Roman"/>
          <w:b/>
          <w:color w:val="000000" w:themeColor="text1"/>
          <w:sz w:val="24"/>
        </w:rPr>
        <w:t>A</w:t>
      </w:r>
      <w:r w:rsidRPr="002A0AF6">
        <w:rPr>
          <w:rFonts w:ascii="Times New Roman" w:eastAsia="楷体" w:hAnsi="Times New Roman" w:cs="Times New Roman"/>
          <w:b/>
          <w:color w:val="000000" w:themeColor="text1"/>
          <w:sz w:val="24"/>
        </w:rPr>
        <w:t>错误。继承人不仅会获得被继承人的遗产，还需要承担被继承人未偿还的债务。本应由被继承人偿还的</w:t>
      </w:r>
      <w:r w:rsidRPr="002A0AF6">
        <w:rPr>
          <w:rFonts w:ascii="Times New Roman" w:eastAsia="楷体" w:hAnsi="Times New Roman" w:cs="Times New Roman" w:hint="eastAsia"/>
          <w:b/>
          <w:color w:val="000000" w:themeColor="text1"/>
          <w:sz w:val="24"/>
        </w:rPr>
        <w:t>债务，应由继承人在继承的遗产范围内承担清偿责任，超过部分不负清偿责任，但继承人自愿偿还的除外。可见，乙的女儿凭该遗嘱继承乙的遗产时需要承担乙未偿还的债务，但超过部分可以不负清偿责任，</w:t>
      </w:r>
      <w:r w:rsidRPr="002A0AF6">
        <w:rPr>
          <w:rFonts w:ascii="Times New Roman" w:eastAsia="楷体" w:hAnsi="Times New Roman" w:cs="Times New Roman"/>
          <w:b/>
          <w:color w:val="000000" w:themeColor="text1"/>
          <w:sz w:val="24"/>
        </w:rPr>
        <w:t>B</w:t>
      </w:r>
      <w:r w:rsidRPr="002A0AF6">
        <w:rPr>
          <w:rFonts w:ascii="Times New Roman" w:eastAsia="楷体" w:hAnsi="Times New Roman" w:cs="Times New Roman"/>
          <w:b/>
          <w:color w:val="000000" w:themeColor="text1"/>
          <w:sz w:val="24"/>
        </w:rPr>
        <w:t>错误。自然人可以立遗嘱将个人财产赠与国家、集体或者法定继承人以外的组织、个人，这属于遗赠。遗赠不属于继承，遗嘱继承是在法定继承人的范围内确定具体继承人及份额。因此丁立遗嘱将财产通过赠与法定继承人以外的组织或个人</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如美术馆</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，属于遗赠，</w:t>
      </w:r>
      <w:r w:rsidRPr="002A0AF6">
        <w:rPr>
          <w:rFonts w:ascii="Times New Roman" w:eastAsia="楷体" w:hAnsi="Times New Roman" w:cs="Times New Roman"/>
          <w:b/>
          <w:color w:val="000000" w:themeColor="text1"/>
          <w:sz w:val="24"/>
        </w:rPr>
        <w:t>D</w:t>
      </w:r>
      <w:r w:rsidRPr="002A0AF6">
        <w:rPr>
          <w:rFonts w:ascii="Times New Roman" w:eastAsia="楷体" w:hAnsi="Times New Roman" w:cs="Times New Roman"/>
          <w:b/>
          <w:color w:val="000000" w:themeColor="text1"/>
          <w:sz w:val="24"/>
        </w:rPr>
        <w:t>错误。</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12</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2020—2023</w:t>
      </w:r>
      <w:r w:rsidRPr="002A0AF6">
        <w:rPr>
          <w:rFonts w:ascii="Times New Roman" w:eastAsia="宋体" w:hAnsi="Times New Roman" w:cs="Times New Roman"/>
          <w:b/>
          <w:color w:val="000000" w:themeColor="text1"/>
          <w:sz w:val="24"/>
        </w:rPr>
        <w:t>年，我国部分宏观经济指标的年度增速变化如图所示。</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"25BJZ-8.tif"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\\25BJZ-8.tif"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\\25BJZ-8.tif"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\\25BJZ-8.tif"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2" type="#_x0000_t75" style="width:192.9pt;height:169.8pt">
            <v:imagedata r:id="rId20" r:href="rId21"/>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据此，下列说法正确的是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2021</w:t>
      </w:r>
      <w:r w:rsidRPr="002A0AF6">
        <w:rPr>
          <w:rFonts w:ascii="Times New Roman" w:eastAsia="宋体" w:hAnsi="Times New Roman" w:cs="Times New Roman"/>
          <w:b/>
          <w:color w:val="000000" w:themeColor="text1"/>
          <w:sz w:val="24"/>
        </w:rPr>
        <w:t xml:space="preserve">年货币供给规模下降，使私人控股企业投资增速放缓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国有控股企业投资增速逆周期变化，为宏观调控作出贡献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财政支出和货币供给协同配合，促进国民经济平稳运行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2022</w:t>
      </w:r>
      <w:r w:rsidRPr="002A0AF6">
        <w:rPr>
          <w:rFonts w:ascii="Times New Roman" w:eastAsia="宋体" w:hAnsi="Times New Roman" w:cs="Times New Roman"/>
          <w:b/>
          <w:color w:val="000000" w:themeColor="text1"/>
          <w:sz w:val="24"/>
        </w:rPr>
        <w:t>年私人控股企业投资减少，引起国有控股企业投资增速加快</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国有企业在经济波动中发挥着稳定器作用，由图可知国有控股企业投资增速在经</w:t>
      </w:r>
      <w:r w:rsidRPr="002A0AF6">
        <w:rPr>
          <w:rFonts w:ascii="Times New Roman" w:eastAsia="楷体" w:hAnsi="Times New Roman" w:cs="Times New Roman" w:hint="eastAsia"/>
          <w:b/>
          <w:color w:val="000000" w:themeColor="text1"/>
          <w:sz w:val="24"/>
        </w:rPr>
        <w:t>济下行期逆势上升，体现了国有控股企业投资响应政策导向以稳定增长，为宏观调控作出贡献，</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正确。由图可知财政支出增速和货币供给增速保持相对稳定的协同发展趋势，其年份增速变化趋势一致，相互配合进行科学的宏观调控以促进国民经济平稳运行，</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正确。由图可知</w:t>
      </w:r>
      <w:r w:rsidRPr="002A0AF6">
        <w:rPr>
          <w:rFonts w:ascii="Times New Roman" w:eastAsia="楷体" w:hAnsi="Times New Roman" w:cs="Times New Roman"/>
          <w:b/>
          <w:color w:val="000000" w:themeColor="text1"/>
          <w:sz w:val="24"/>
        </w:rPr>
        <w:t>2021</w:t>
      </w:r>
      <w:r w:rsidRPr="002A0AF6">
        <w:rPr>
          <w:rFonts w:ascii="Times New Roman" w:eastAsia="楷体" w:hAnsi="Times New Roman" w:cs="Times New Roman"/>
          <w:b/>
          <w:color w:val="000000" w:themeColor="text1"/>
          <w:sz w:val="24"/>
        </w:rPr>
        <w:t>年货币供给增速稍有下降，只是增长的幅度变小了，货币供给规模通常是持续增加的，由增幅变小不能得出</w:t>
      </w:r>
      <w:r w:rsidRPr="002A0AF6">
        <w:rPr>
          <w:rFonts w:ascii="Times New Roman" w:eastAsia="楷体" w:hAnsi="Times New Roman" w:cs="Times New Roman"/>
          <w:b/>
          <w:color w:val="000000" w:themeColor="text1"/>
          <w:sz w:val="24"/>
        </w:rPr>
        <w:t>2021</w:t>
      </w:r>
      <w:r w:rsidRPr="002A0AF6">
        <w:rPr>
          <w:rFonts w:ascii="Times New Roman" w:eastAsia="楷体" w:hAnsi="Times New Roman" w:cs="Times New Roman"/>
          <w:b/>
          <w:color w:val="000000" w:themeColor="text1"/>
          <w:sz w:val="24"/>
        </w:rPr>
        <w:t>年货币供给规模下降，并且</w:t>
      </w:r>
      <w:r w:rsidRPr="002A0AF6">
        <w:rPr>
          <w:rFonts w:ascii="Times New Roman" w:eastAsia="楷体" w:hAnsi="Times New Roman" w:cs="Times New Roman"/>
          <w:b/>
          <w:color w:val="000000" w:themeColor="text1"/>
          <w:sz w:val="24"/>
        </w:rPr>
        <w:t>2021</w:t>
      </w:r>
      <w:r w:rsidRPr="002A0AF6">
        <w:rPr>
          <w:rFonts w:ascii="Times New Roman" w:eastAsia="楷体" w:hAnsi="Times New Roman" w:cs="Times New Roman"/>
          <w:b/>
          <w:color w:val="000000" w:themeColor="text1"/>
          <w:sz w:val="24"/>
        </w:rPr>
        <w:t>年私人控股固定资产投资增速显著加快，不能因此得出私人控股企业投资增速放缓，</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排除。私人控股企业投资减少和国有控股企业投资增速</w:t>
      </w:r>
      <w:r w:rsidRPr="002A0AF6">
        <w:rPr>
          <w:rFonts w:ascii="Times New Roman" w:eastAsia="楷体" w:hAnsi="Times New Roman" w:cs="Times New Roman" w:hint="eastAsia"/>
          <w:b/>
          <w:color w:val="000000" w:themeColor="text1"/>
          <w:sz w:val="24"/>
        </w:rPr>
        <w:t>加快可能存在时间关联，但不存在直接因果关系。国有控股企业投资增速变化是主动的逆周期调控，而非被动响应私人控股企业投资变化，宏观调控才是其投资变化的核心驱动力，</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13</w:t>
      </w:r>
      <w:r w:rsidRPr="002A0AF6">
        <w:rPr>
          <w:rFonts w:ascii="Times New Roman" w:eastAsia="宋体" w:hAnsi="Times New Roman" w:cs="Times New Roman"/>
          <w:b/>
          <w:color w:val="000000" w:themeColor="text1"/>
          <w:sz w:val="24"/>
        </w:rPr>
        <w:t>．北京拥有发展商业航天的政策、用户、厂商、人才、资本等方面的优质资源，目前，已形成覆盖产业链上下游全部环节的</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南箭北星</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布局：北京经济技术开发区、大兴区集聚商业火箭研发制造企业，形成</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南箭</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产业集群；海淀区集聚众多商业卫星制造、测运控和运营企业，形成</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北星</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产业集群。关于北京商业航天产业，下列说法正确的是</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产</w:t>
      </w:r>
      <w:r w:rsidRPr="002A0AF6">
        <w:rPr>
          <w:rFonts w:ascii="Times New Roman" w:eastAsia="宋体" w:hAnsi="Times New Roman" w:cs="Times New Roman" w:hint="eastAsia"/>
          <w:b/>
          <w:color w:val="000000" w:themeColor="text1"/>
          <w:sz w:val="24"/>
        </w:rPr>
        <w:t xml:space="preserve">业集群化发展，促进资源共享和协同创新　</w:t>
      </w: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 xml:space="preserve">政府的政策引导，有助于优化产业空间布局　</w:t>
      </w: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 xml:space="preserve">劳动密集度高，有利于发挥北京的资源优势　</w:t>
      </w: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市场需求有限，产业链上下游形成市场垄断</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hint="eastAsia"/>
          <w:b/>
          <w:color w:val="000000" w:themeColor="text1"/>
          <w:sz w:val="24"/>
        </w:rPr>
        <w:t>．</w:t>
      </w:r>
      <w:r w:rsidRPr="002A0AF6">
        <w:rPr>
          <w:rFonts w:ascii="宋体" w:eastAsia="宋体" w:hAnsi="宋体" w:cs="Times New Roman"/>
          <w:b/>
          <w:color w:val="000000" w:themeColor="text1"/>
          <w:sz w:val="24"/>
        </w:rPr>
        <w:t>①②</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③④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北京商业航天产业已形成</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南箭北星</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的产业集群布局，并拥有政策、用户、厂商等优质资源，说明产业集群化发展</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如</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南箭北星</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能促进企业间资源共享和协同创新，提高产业效率，</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正确。北京拥有政策资源，且</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南箭北星</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的布局体现了政策</w:t>
      </w:r>
      <w:r w:rsidRPr="002A0AF6">
        <w:rPr>
          <w:rFonts w:ascii="Times New Roman" w:eastAsia="楷体" w:hAnsi="Times New Roman" w:cs="Times New Roman" w:hint="eastAsia"/>
          <w:b/>
          <w:color w:val="000000" w:themeColor="text1"/>
          <w:sz w:val="24"/>
        </w:rPr>
        <w:t>对产业空间布局的主动规划。这种区域分工需要政府通过土地、资金、配套设施等相关政策引导企业合理分布，从而避免同质化竞争、提升整体效率，</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正确。商业航天属于技术密集型产业，</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错误。材料提到北京拥有用户资源，表明市场需求潜力巨大，且产业链上下游企业是协同关系而非垄断关系，</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错误。</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14</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2025</w:t>
      </w:r>
      <w:r w:rsidRPr="002A0AF6">
        <w:rPr>
          <w:rFonts w:ascii="Times New Roman" w:eastAsia="宋体" w:hAnsi="Times New Roman" w:cs="Times New Roman"/>
          <w:b/>
          <w:color w:val="000000" w:themeColor="text1"/>
          <w:sz w:val="24"/>
        </w:rPr>
        <w:t>年，</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新型离岸贸易</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一词首次亮相国务院《政府工作报告》。离岸贸易的特点为资金流过境而货物流不过境。如图所示，中国企业借助数字化平台实现了从传统离岸贸易中</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输出中国货</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到新型离岸贸易中</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整合全球货</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的角色转变。</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"25BJZ-9.tif"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\\25BJZ-9.tif"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\\25BJZ-9.tif"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\\25BJZ-9.tif"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3" type="#_x0000_t75" style="width:155.8pt;height:187.5pt">
            <v:imagedata r:id="rId22" r:href="rId23"/>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我国发展新型离岸贸易</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能够提升我国跨境资本流动监管能力，降低金融风险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可以降低贸易物流成本、缩短交货周期，活跃国际贸易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有助于我国企业主导离岸贸易价值链，实现价值链跃升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有利于扩大我国跨境货物进出口规模，巩固贸易大国地位</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C</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由材料可知，新型离岸贸易中，资金流过境而货物流不过境，货物直接从境外供应企业送达境外采购企业，</w:t>
      </w:r>
      <w:r w:rsidRPr="002A0AF6">
        <w:rPr>
          <w:rFonts w:ascii="Times New Roman" w:eastAsia="楷体" w:hAnsi="Times New Roman" w:cs="Times New Roman" w:hint="eastAsia"/>
          <w:b/>
          <w:color w:val="000000" w:themeColor="text1"/>
          <w:sz w:val="24"/>
        </w:rPr>
        <w:t>这样做可以降低贸易物流成本、缩短交货周期，活跃国际贸易，</w:t>
      </w:r>
      <w:r w:rsidRPr="002A0AF6">
        <w:rPr>
          <w:rFonts w:ascii="宋体" w:eastAsia="楷体" w:hAnsi="宋体" w:cs="Times New Roman" w:hint="eastAsia"/>
          <w:b/>
          <w:color w:val="000000" w:themeColor="text1"/>
          <w:sz w:val="24"/>
        </w:rPr>
        <w:t>②</w:t>
      </w:r>
      <w:r w:rsidRPr="002A0AF6">
        <w:rPr>
          <w:rFonts w:ascii="Times New Roman" w:eastAsia="楷体" w:hAnsi="Times New Roman" w:cs="Times New Roman" w:hint="eastAsia"/>
          <w:b/>
          <w:color w:val="000000" w:themeColor="text1"/>
          <w:sz w:val="24"/>
        </w:rPr>
        <w:t>正确。由中国企业从传统离岸贸易</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输出中国货</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到新型离岸贸易</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整合全球货</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的角色转变中可以看出，我国发展新型离岸贸易有助于我国企业主导离岸贸易价值链，实现价值链跃升，</w:t>
      </w:r>
      <w:r w:rsidRPr="002A0AF6">
        <w:rPr>
          <w:rFonts w:ascii="宋体" w:eastAsia="楷体" w:hAnsi="宋体" w:cs="Times New Roman" w:hint="eastAsia"/>
          <w:b/>
          <w:color w:val="000000" w:themeColor="text1"/>
          <w:sz w:val="24"/>
        </w:rPr>
        <w:t>③</w:t>
      </w:r>
      <w:r w:rsidRPr="002A0AF6">
        <w:rPr>
          <w:rFonts w:ascii="Times New Roman" w:eastAsia="楷体" w:hAnsi="Times New Roman" w:cs="Times New Roman" w:hint="eastAsia"/>
          <w:b/>
          <w:color w:val="000000" w:themeColor="text1"/>
          <w:sz w:val="24"/>
        </w:rPr>
        <w:t>正确。我国发展新型离岸贸易难免会遇到跨境金融风险，因此需要加强对我国跨境资本流动的监管，但这未必一定能降低金融风险，</w:t>
      </w:r>
      <w:r w:rsidRPr="002A0AF6">
        <w:rPr>
          <w:rFonts w:ascii="宋体" w:eastAsia="楷体" w:hAnsi="宋体" w:cs="Times New Roman" w:hint="eastAsia"/>
          <w:b/>
          <w:color w:val="000000" w:themeColor="text1"/>
          <w:sz w:val="24"/>
        </w:rPr>
        <w:t>①</w:t>
      </w:r>
      <w:r w:rsidRPr="002A0AF6">
        <w:rPr>
          <w:rFonts w:ascii="Times New Roman" w:eastAsia="楷体" w:hAnsi="Times New Roman" w:cs="Times New Roman" w:hint="eastAsia"/>
          <w:b/>
          <w:color w:val="000000" w:themeColor="text1"/>
          <w:sz w:val="24"/>
        </w:rPr>
        <w:t>不选。我国发展新型离岸贸易，是资金流过境、货物流不过境，因此不涉及跨境货物进出口，</w:t>
      </w:r>
      <w:r w:rsidRPr="002A0AF6">
        <w:rPr>
          <w:rFonts w:ascii="宋体" w:eastAsia="楷体" w:hAnsi="宋体" w:cs="Times New Roman" w:hint="eastAsia"/>
          <w:b/>
          <w:color w:val="000000" w:themeColor="text1"/>
          <w:sz w:val="24"/>
        </w:rPr>
        <w:t>④</w:t>
      </w:r>
      <w:r w:rsidRPr="002A0AF6">
        <w:rPr>
          <w:rFonts w:ascii="Times New Roman" w:eastAsia="楷体" w:hAnsi="Times New Roman" w:cs="Times New Roman" w:hint="eastAsia"/>
          <w:b/>
          <w:color w:val="000000" w:themeColor="text1"/>
          <w:sz w:val="24"/>
        </w:rPr>
        <w:t>不选。</w:t>
      </w:r>
      <w:r w:rsidRPr="002A0AF6">
        <w:rPr>
          <w:rFonts w:ascii="Times New Roman" w:eastAsia="楷体" w:hAnsi="Times New Roman" w:cs="Times New Roman" w:hint="eastAsia"/>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15</w:t>
      </w:r>
      <w:r w:rsidRPr="002A0AF6">
        <w:rPr>
          <w:rFonts w:ascii="Times New Roman" w:eastAsia="宋体" w:hAnsi="Times New Roman" w:cs="Times New Roman"/>
          <w:b/>
          <w:color w:val="000000" w:themeColor="text1"/>
          <w:sz w:val="24"/>
        </w:rPr>
        <w:t>．近年来，来自中国的智慧农业技术在助力发展中国家农业现代化进程</w:t>
      </w:r>
      <w:r w:rsidRPr="002A0AF6">
        <w:rPr>
          <w:rFonts w:ascii="Times New Roman" w:eastAsia="宋体" w:hAnsi="Times New Roman" w:cs="Times New Roman" w:hint="eastAsia"/>
          <w:b/>
          <w:color w:val="000000" w:themeColor="text1"/>
          <w:sz w:val="24"/>
        </w:rPr>
        <w:t>中发挥了重要作用：水果三维无损检测系统使马来西亚的榴莲分级准确率提升了</w:t>
      </w:r>
      <w:r w:rsidRPr="002A0AF6">
        <w:rPr>
          <w:rFonts w:ascii="Times New Roman" w:eastAsia="宋体" w:hAnsi="Times New Roman" w:cs="Times New Roman"/>
          <w:b/>
          <w:color w:val="000000" w:themeColor="text1"/>
          <w:sz w:val="24"/>
        </w:rPr>
        <w:t>40</w:t>
      </w:r>
      <w:r w:rsidRPr="002A0AF6">
        <w:rPr>
          <w:rFonts w:ascii="Times New Roman" w:eastAsia="宋体" w:hAnsi="Times New Roman" w:cs="Times New Roman"/>
          <w:b/>
          <w:color w:val="000000" w:themeColor="text1"/>
          <w:sz w:val="24"/>
        </w:rPr>
        <w:t>倍，甘蔗收割机帮助巴巴多斯实现了甘蔗收割的机械化和自动化，基于北斗导航技术的植保无人机助力莫桑比克农民提高播种效率</w:t>
      </w:r>
      <w:r w:rsidRPr="002A0AF6">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我国</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智慧农业</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出海</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 xml:space="preserve">适应经济全球化新形势，推动更高水平开放型经济发展　</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 xml:space="preserve">坚持打开国门搞建设，通过产业升级吸引全球资源要素　</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 xml:space="preserve">通过技术赋能农业合作，助推人类命运共同体建设　</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积极应对非传统安全挑战，推进全球治理体制变革</w:t>
      </w:r>
    </w:p>
    <w:p w:rsid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A</w:t>
      </w:r>
      <w:r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①③</w:t>
      </w:r>
      <w:r w:rsidR="002A0AF6" w:rsidRPr="002A0AF6">
        <w:rPr>
          <w:rFonts w:ascii="Times New Roman" w:eastAsia="宋体" w:hAnsi="Times New Roman" w:cs="Times New Roman"/>
          <w:b/>
          <w:color w:val="000000" w:themeColor="text1"/>
          <w:sz w:val="24"/>
        </w:rPr>
        <w:t xml:space="preserve">    </w:t>
      </w:r>
      <w:r w:rsidR="002A0AF6">
        <w:rPr>
          <w:rFonts w:ascii="Times New Roman" w:eastAsia="宋体" w:hAnsi="Times New Roman" w:cs="Times New Roman"/>
          <w:b/>
          <w:color w:val="000000" w:themeColor="text1"/>
          <w:sz w:val="24"/>
        </w:rPr>
        <w:tab/>
      </w:r>
      <w:r w:rsidR="002A0AF6" w:rsidRPr="002A0AF6">
        <w:rPr>
          <w:rFonts w:ascii="Times New Roman" w:eastAsia="宋体" w:hAnsi="Times New Roman" w:cs="Times New Roman"/>
          <w:b/>
          <w:color w:val="000000" w:themeColor="text1"/>
          <w:sz w:val="24"/>
        </w:rPr>
        <w:t>B</w:t>
      </w:r>
      <w:r w:rsidR="002A0AF6" w:rsidRPr="002A0AF6">
        <w:rPr>
          <w:rFonts w:ascii="Times New Roman" w:eastAsia="宋体" w:hAnsi="Times New Roman" w:cs="Times New Roman"/>
          <w:b/>
          <w:color w:val="000000" w:themeColor="text1"/>
          <w:sz w:val="24"/>
        </w:rPr>
        <w:t>．</w:t>
      </w:r>
      <w:r w:rsidRPr="002A0AF6">
        <w:rPr>
          <w:rFonts w:ascii="宋体" w:eastAsia="宋体" w:hAnsi="宋体" w:cs="Times New Roman"/>
          <w:b/>
          <w:color w:val="000000" w:themeColor="text1"/>
          <w:sz w:val="24"/>
        </w:rPr>
        <w:t>①④</w:t>
      </w:r>
      <w:r w:rsidR="002A0AF6">
        <w:rPr>
          <w:rFonts w:ascii="Times New Roman" w:eastAsia="宋体" w:hAnsi="Times New Roman" w:cs="Times New Roman"/>
          <w:b/>
          <w:color w:val="000000" w:themeColor="text1"/>
          <w:sz w:val="24"/>
        </w:rPr>
        <w:t xml:space="preserve">    </w:t>
      </w:r>
    </w:p>
    <w:p w:rsidR="0075731D" w:rsidRPr="002A0AF6" w:rsidRDefault="002A0AF6" w:rsidP="00F559B0">
      <w:pPr>
        <w:pStyle w:val="a3"/>
        <w:tabs>
          <w:tab w:val="left" w:pos="4200"/>
        </w:tabs>
        <w:snapToGrid w:val="0"/>
        <w:spacing w:line="360" w:lineRule="auto"/>
        <w:rPr>
          <w:rFonts w:ascii="Times New Roman" w:eastAsia="宋体" w:hAnsi="Times New Roman" w:cs="Times New Roman"/>
          <w:b/>
          <w:color w:val="000000" w:themeColor="text1"/>
          <w:sz w:val="24"/>
        </w:rPr>
      </w:pPr>
      <w:r>
        <w:rPr>
          <w:rFonts w:ascii="Times New Roman" w:eastAsia="宋体" w:hAnsi="Times New Roman" w:cs="Times New Roman"/>
          <w:b/>
          <w:color w:val="000000" w:themeColor="text1"/>
          <w:sz w:val="24"/>
        </w:rPr>
        <w:t>C</w:t>
      </w:r>
      <w:r>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②③</w:t>
      </w:r>
      <w:r w:rsidRPr="002A0AF6">
        <w:rPr>
          <w:rFonts w:ascii="Times New Roman" w:eastAsia="宋体" w:hAnsi="Times New Roman" w:cs="Times New Roman"/>
          <w:b/>
          <w:color w:val="000000" w:themeColor="text1"/>
          <w:sz w:val="24"/>
        </w:rPr>
        <w:t xml:space="preserve">    </w:t>
      </w:r>
      <w:r>
        <w:rPr>
          <w:rFonts w:ascii="Times New Roman" w:eastAsia="宋体" w:hAnsi="Times New Roman" w:cs="Times New Roman"/>
          <w:b/>
          <w:color w:val="000000" w:themeColor="text1"/>
          <w:sz w:val="24"/>
        </w:rPr>
        <w:tab/>
      </w:r>
      <w:r w:rsidRPr="002A0AF6">
        <w:rPr>
          <w:rFonts w:ascii="Times New Roman" w:eastAsia="宋体" w:hAnsi="Times New Roman" w:cs="Times New Roman"/>
          <w:b/>
          <w:color w:val="000000" w:themeColor="text1"/>
          <w:sz w:val="24"/>
        </w:rPr>
        <w:t>D</w:t>
      </w:r>
      <w:r w:rsidRPr="002A0AF6">
        <w:rPr>
          <w:rFonts w:ascii="Times New Roman" w:eastAsia="宋体" w:hAnsi="Times New Roman" w:cs="Times New Roman"/>
          <w:b/>
          <w:color w:val="000000" w:themeColor="text1"/>
          <w:sz w:val="24"/>
        </w:rPr>
        <w:t>．</w:t>
      </w:r>
      <w:r w:rsidR="0075731D" w:rsidRPr="002A0AF6">
        <w:rPr>
          <w:rFonts w:ascii="宋体" w:eastAsia="宋体" w:hAnsi="宋体" w:cs="Times New Roman"/>
          <w:b/>
          <w:color w:val="000000" w:themeColor="text1"/>
          <w:sz w:val="24"/>
        </w:rPr>
        <w:t>②④</w:t>
      </w:r>
    </w:p>
    <w:p w:rsidR="0075731D" w:rsidRPr="002A0AF6" w:rsidRDefault="0075731D" w:rsidP="00F559B0">
      <w:pPr>
        <w:pStyle w:val="a3"/>
        <w:tabs>
          <w:tab w:val="left" w:pos="21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FF0000"/>
          <w:sz w:val="24"/>
        </w:rPr>
        <w:t>A</w:t>
      </w:r>
      <w:r w:rsidRPr="002A0AF6">
        <w:rPr>
          <w:rFonts w:ascii="Times New Roman" w:eastAsia="宋体" w:hAnsi="Times New Roman" w:cs="Times New Roman"/>
          <w:b/>
          <w:color w:val="FF0000"/>
          <w:sz w:val="24"/>
        </w:rPr>
        <w:t xml:space="preserve">　</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我国智慧农业出海助力发展中国家农业现代化发展，适应了经济全球化新形势，推动更高水平开放型经济发展，</w:t>
      </w:r>
      <w:r w:rsidRPr="002A0AF6">
        <w:rPr>
          <w:rFonts w:ascii="宋体" w:eastAsia="楷体" w:hAnsi="宋体" w:cs="Times New Roman"/>
          <w:b/>
          <w:color w:val="000000" w:themeColor="text1"/>
          <w:sz w:val="24"/>
        </w:rPr>
        <w:t>①</w:t>
      </w:r>
      <w:r w:rsidRPr="002A0AF6">
        <w:rPr>
          <w:rFonts w:ascii="Times New Roman" w:eastAsia="楷体" w:hAnsi="Times New Roman" w:cs="Times New Roman"/>
          <w:b/>
          <w:color w:val="000000" w:themeColor="text1"/>
          <w:sz w:val="24"/>
        </w:rPr>
        <w:t>正确。我国通过输出先进的农业技术帮助不同的发展中国家提升农业现代化水平，这说明我国智慧农业出海通过技术赋能农业合作，助推人类命运共同体建设，</w:t>
      </w:r>
      <w:r w:rsidRPr="002A0AF6">
        <w:rPr>
          <w:rFonts w:ascii="宋体" w:eastAsia="楷体" w:hAnsi="宋体" w:cs="Times New Roman"/>
          <w:b/>
          <w:color w:val="000000" w:themeColor="text1"/>
          <w:sz w:val="24"/>
        </w:rPr>
        <w:t>③</w:t>
      </w:r>
      <w:r w:rsidRPr="002A0AF6">
        <w:rPr>
          <w:rFonts w:ascii="Times New Roman" w:eastAsia="楷体" w:hAnsi="Times New Roman" w:cs="Times New Roman"/>
          <w:b/>
          <w:color w:val="000000" w:themeColor="text1"/>
          <w:sz w:val="24"/>
        </w:rPr>
        <w:t>正确。材料没有强调通过我国的产业升级吸引全球资源要素，</w:t>
      </w:r>
      <w:r w:rsidRPr="002A0AF6">
        <w:rPr>
          <w:rFonts w:ascii="宋体" w:eastAsia="楷体" w:hAnsi="宋体" w:cs="Times New Roman"/>
          <w:b/>
          <w:color w:val="000000" w:themeColor="text1"/>
          <w:sz w:val="24"/>
        </w:rPr>
        <w:t>②</w:t>
      </w:r>
      <w:r w:rsidRPr="002A0AF6">
        <w:rPr>
          <w:rFonts w:ascii="Times New Roman" w:eastAsia="楷体" w:hAnsi="Times New Roman" w:cs="Times New Roman"/>
          <w:b/>
          <w:color w:val="000000" w:themeColor="text1"/>
          <w:sz w:val="24"/>
        </w:rPr>
        <w:t>排除。非传统安全威胁因素主要包括经济动荡、金融风险、生态环境恶化、网络攻击、资源危机、恐怖主义、武器扩散、疾病蔓延、跨国犯罪等，材料未涉及，</w:t>
      </w:r>
      <w:r w:rsidRPr="002A0AF6">
        <w:rPr>
          <w:rFonts w:ascii="宋体" w:eastAsia="楷体" w:hAnsi="宋体" w:cs="Times New Roman"/>
          <w:b/>
          <w:color w:val="000000" w:themeColor="text1"/>
          <w:sz w:val="24"/>
        </w:rPr>
        <w:t>④</w:t>
      </w:r>
      <w:r w:rsidRPr="002A0AF6">
        <w:rPr>
          <w:rFonts w:ascii="Times New Roman" w:eastAsia="楷体" w:hAnsi="Times New Roman" w:cs="Times New Roman"/>
          <w:b/>
          <w:color w:val="000000" w:themeColor="text1"/>
          <w:sz w:val="24"/>
        </w:rPr>
        <w:t>排除。</w:t>
      </w:r>
      <w:r w:rsidRPr="002A0AF6">
        <w:rPr>
          <w:rFonts w:ascii="Times New Roman" w:eastAsia="楷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000000" w:themeColor="text1"/>
          <w:sz w:val="24"/>
        </w:rPr>
        <w:t>二、非选择题：共</w:t>
      </w:r>
      <w:r w:rsidRPr="002A0AF6">
        <w:rPr>
          <w:rFonts w:ascii="Times New Roman" w:eastAsia="黑体" w:hAnsi="Times New Roman" w:cs="Times New Roman"/>
          <w:b/>
          <w:color w:val="000000" w:themeColor="text1"/>
          <w:sz w:val="24"/>
        </w:rPr>
        <w:t>6</w:t>
      </w:r>
      <w:r w:rsidRPr="002A0AF6">
        <w:rPr>
          <w:rFonts w:ascii="Times New Roman" w:eastAsia="黑体" w:hAnsi="Times New Roman" w:cs="Times New Roman"/>
          <w:b/>
          <w:color w:val="000000" w:themeColor="text1"/>
          <w:sz w:val="24"/>
        </w:rPr>
        <w:t>题，共</w:t>
      </w:r>
      <w:r w:rsidRPr="002A0AF6">
        <w:rPr>
          <w:rFonts w:ascii="Times New Roman" w:eastAsia="黑体" w:hAnsi="Times New Roman" w:cs="Times New Roman"/>
          <w:b/>
          <w:color w:val="000000" w:themeColor="text1"/>
          <w:sz w:val="24"/>
        </w:rPr>
        <w:t>55</w:t>
      </w:r>
      <w:r w:rsidRPr="002A0AF6">
        <w:rPr>
          <w:rFonts w:ascii="Times New Roman" w:eastAsia="黑体" w:hAnsi="Times New Roman" w:cs="Times New Roman"/>
          <w:b/>
          <w:color w:val="000000" w:themeColor="text1"/>
          <w:sz w:val="24"/>
        </w:rPr>
        <w:t>分。</w:t>
      </w:r>
    </w:p>
    <w:p w:rsidR="0075731D" w:rsidRPr="002A0AF6" w:rsidRDefault="0075731D" w:rsidP="00F559B0">
      <w:pPr>
        <w:pStyle w:val="a3"/>
        <w:tabs>
          <w:tab w:val="left" w:pos="4200"/>
        </w:tabs>
        <w:snapToGrid w:val="0"/>
        <w:spacing w:line="360" w:lineRule="auto"/>
        <w:rPr>
          <w:rFonts w:ascii="Times New Roman" w:eastAsia="楷体" w:hAnsi="Times New Roman" w:cs="Times New Roman"/>
          <w:b/>
          <w:color w:val="000000" w:themeColor="text1"/>
          <w:sz w:val="24"/>
        </w:rPr>
      </w:pPr>
      <w:r w:rsidRPr="002A0AF6">
        <w:rPr>
          <w:rFonts w:ascii="Times New Roman" w:eastAsia="宋体" w:hAnsi="Times New Roman" w:cs="Times New Roman"/>
          <w:b/>
          <w:color w:val="000000" w:themeColor="text1"/>
          <w:sz w:val="24"/>
        </w:rPr>
        <w:t>16</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【人见人爱的兔儿爷】泥彩塑兔儿爷曾是旧时京城中秋应节应令的儿童玩具，是许多人喜爱的吉祥物，也是北京城的经典符号之一，</w:t>
      </w:r>
      <w:r w:rsidRPr="002A0AF6">
        <w:rPr>
          <w:rFonts w:ascii="Times New Roman" w:eastAsia="楷体" w:hAnsi="Times New Roman" w:cs="Times New Roman"/>
          <w:b/>
          <w:color w:val="000000" w:themeColor="text1"/>
          <w:sz w:val="24"/>
        </w:rPr>
        <w:t>2014</w:t>
      </w:r>
      <w:r w:rsidRPr="002A0AF6">
        <w:rPr>
          <w:rFonts w:ascii="Times New Roman" w:eastAsia="楷体" w:hAnsi="Times New Roman" w:cs="Times New Roman"/>
          <w:b/>
          <w:color w:val="000000" w:themeColor="text1"/>
          <w:sz w:val="24"/>
        </w:rPr>
        <w:t>年被列入国家级非物质文化遗产项目名录。</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【兔儿爷一杆旗的由来】</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金盔金甲捣药杵，山形眉三瓣嘴，身后一杆靠背旗</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兔儿爷的背后插着一杆旗，相传是因为玉兔为京城百姓祛病除灾，日夜辛劳，最终累倒在庙门外的一杆旗杆下。这是兔儿爷作为守护者的历史渊源。人们喜爱兔儿爷，不仅因为其形象可爱，还因为它承载着人们对护佑</w:t>
      </w:r>
      <w:r w:rsidRPr="002A0AF6">
        <w:rPr>
          <w:rFonts w:ascii="Times New Roman" w:eastAsia="楷体" w:hAnsi="Times New Roman" w:cs="Times New Roman" w:hint="eastAsia"/>
          <w:b/>
          <w:color w:val="000000" w:themeColor="text1"/>
          <w:sz w:val="24"/>
        </w:rPr>
        <w:t>平安的美好愿望。</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hint="eastAsia"/>
          <w:b/>
          <w:color w:val="000000" w:themeColor="text1"/>
          <w:sz w:val="24"/>
        </w:rPr>
        <w:t>【兔儿爷的衍生形象】兔儿爷的形象在发展过程中融入了许多新的元素，出现了娃娃型、卡通型等各种式样，一些设计为了展现美观和威武之气，吸纳了京剧武生的形象特点，将其身后的靠背旗从一杆增加到两杆甚至四杆。这种改变引发了一部分人的担忧，认为一杆旗不仅是兔儿爷形象的重要标志，更象征着兔儿爷治病救人的深厚历史和文化寓意，提出兔儿爷的传承要原汁原味。</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"25BJZ-10.tif"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\\25BJZ-10.tif"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\\25BJZ-10.tif"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\\25BJZ-10.tif"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4" type="#_x0000_t75" style="width:79pt;height:113.35pt">
            <v:imagedata r:id="rId24" r:href="rId25"/>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结合材料，运用《哲学与文化》的知识，谈谈你对非遗传承要原汁原味这一观点的思考。</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hint="eastAsia"/>
          <w:b/>
          <w:color w:val="FF0000"/>
          <w:sz w:val="24"/>
        </w:rPr>
        <w:t>[</w:t>
      </w:r>
      <w:r w:rsidRPr="002A0AF6">
        <w:rPr>
          <w:rFonts w:ascii="Times New Roman" w:eastAsia="黑体" w:hAnsi="Times New Roman" w:cs="Times New Roman" w:hint="eastAsia"/>
          <w:b/>
          <w:color w:val="FF0000"/>
          <w:sz w:val="24"/>
        </w:rPr>
        <w:t>答案</w:t>
      </w:r>
      <w:r w:rsidRPr="002A0AF6">
        <w:rPr>
          <w:rFonts w:ascii="Times New Roman" w:eastAsia="黑体" w:hAnsi="Times New Roman" w:cs="Times New Roman" w:hint="eastAsia"/>
          <w:b/>
          <w:color w:val="FF0000"/>
          <w:sz w:val="24"/>
        </w:rPr>
        <w:t>]</w:t>
      </w:r>
      <w:r w:rsidRPr="002A0AF6">
        <w:rPr>
          <w:rFonts w:ascii="Times New Roman" w:eastAsia="宋体" w:hAnsi="Times New Roman" w:cs="Times New Roman"/>
          <w:b/>
          <w:color w:val="000000" w:themeColor="text1"/>
          <w:sz w:val="24"/>
        </w:rPr>
        <w:t xml:space="preserve">　</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文化在传承中发展。兔儿爷的一杆旗是其历史渊源和文化寓意的核心符号，原汁原味地传承能保留非物质文化遗产的本真性，避免文化内涵在演变中流失。传统符号若过度改变，可能削弱其作为北京经典文化符号的辨识度，影响人们对非遗的历史记忆和情感联结。</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文化在发展中传承。兔儿爷的衍生形象反映了现代社会人们审美的变化和对功能的新需求，创新能增强非遗的生命力，扩大其传播范围。非遗传承本质上是活态传承，京剧元素的融入正是传统文化之间交融创新的例证，符合文化发展的客观规律。</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在保留兔儿爷一杆旗象征意义的基础上</w:t>
      </w:r>
      <w:r w:rsidRPr="002A0AF6">
        <w:rPr>
          <w:rFonts w:ascii="Times New Roman" w:eastAsia="宋体" w:hAnsi="Times New Roman" w:cs="Times New Roman" w:hint="eastAsia"/>
          <w:b/>
          <w:color w:val="000000" w:themeColor="text1"/>
          <w:sz w:val="24"/>
        </w:rPr>
        <w:t>，通过创新形式拓展其表现力，实现</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形变神不变</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。参考国家级非物质文化遗产的保护要求，可通过数字化记录、传统工艺保护等方式留存原真形态，同时鼓励符合现代审美的创造性转化。</w:t>
      </w: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非遗传承既要原汁原味地保护文化根脉，又需与时俱进地创新发展，关键在于把握文化内核与外在形式的辩证关系，在守护精神价值的同时，赋予其时代生命力。</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17</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为了</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解决好人民最关心最直接最现实的利益问题</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，北京市不断完善以市民服务热线为主渠道的群众诉求与回应机制，生动展现了超大城市治理现代化的进程，打造了</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中国之治</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的首</w:t>
      </w:r>
      <w:r w:rsidRPr="002A0AF6">
        <w:rPr>
          <w:rFonts w:ascii="Times New Roman" w:eastAsia="楷体" w:hAnsi="Times New Roman" w:cs="Times New Roman" w:hint="eastAsia"/>
          <w:b/>
          <w:color w:val="000000" w:themeColor="text1"/>
          <w:sz w:val="24"/>
        </w:rPr>
        <w:t>都样板。</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"25BJZ-11.tif"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\\25BJZ-11.tif"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\\25BJZ-11.tif"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\\25BJZ-11.tif"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5" type="#_x0000_t75" style="width:226.75pt;height:176.8pt">
            <v:imagedata r:id="rId26" r:href="rId27"/>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如图呈现了以市民服务热线为主渠道的群众诉求与回应机制的变迁。运用《政治与法治》的知识，从动力、机制和技术三个角度中</w:t>
      </w:r>
      <w:r w:rsidRPr="002A0AF6">
        <w:rPr>
          <w:rFonts w:ascii="Times New Roman" w:eastAsia="宋体" w:hAnsi="Times New Roman" w:cs="Times New Roman"/>
          <w:b/>
          <w:color w:val="000000" w:themeColor="text1"/>
          <w:sz w:val="24"/>
          <w:em w:val="underDot"/>
        </w:rPr>
        <w:t>任选两个角度</w:t>
      </w:r>
      <w:r w:rsidRPr="002A0AF6">
        <w:rPr>
          <w:rFonts w:ascii="Times New Roman" w:eastAsia="宋体" w:hAnsi="Times New Roman" w:cs="Times New Roman"/>
          <w:b/>
          <w:color w:val="000000" w:themeColor="text1"/>
          <w:sz w:val="24"/>
        </w:rPr>
        <w:t>对这一变迁进行分析。</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宋体" w:hAnsi="Times New Roman" w:cs="Times New Roman"/>
          <w:b/>
          <w:color w:val="000000" w:themeColor="text1"/>
          <w:sz w:val="24"/>
        </w:rPr>
        <w:t xml:space="preserve">　动力：北京市始终坚持以人民为中心的发展思想，坚持全心全意为人民服务的根本宗旨，推进服务型政府建设，不断提升服务意识，结合群众需求变革以市民服务热线为主渠道的群众诉求与回应机制，让群众成为治理问题的发起者、治理过程的参与者、治理成效的获得者、治理情况的</w:t>
      </w:r>
      <w:r w:rsidRPr="002A0AF6">
        <w:rPr>
          <w:rFonts w:ascii="Times New Roman" w:eastAsia="宋体" w:hAnsi="Times New Roman" w:cs="Times New Roman" w:hint="eastAsia"/>
          <w:b/>
          <w:color w:val="000000" w:themeColor="text1"/>
          <w:sz w:val="24"/>
        </w:rPr>
        <w:t>监督者，将群众诉求作为城市治理目标，不断增强人民群众获得感、幸福感、安全感。</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hint="eastAsia"/>
          <w:b/>
          <w:color w:val="000000" w:themeColor="text1"/>
          <w:sz w:val="24"/>
        </w:rPr>
        <w:t>机制：机制建设不断完善。从接诉即办工作机制建立到工作条例的实施，再到全流程工作机制的完善，机制建设不断为群众诉求的表达和解决提供坚实的保障，使政府工作有法可依、有章可循，确保群众诉求能够得到及时、规范的处理。工作流程日益优化。完善</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接、派、办、评</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全流程工作机制，引导多元力量参与治理，整合了各方资源，形成治理合力，提高了治理效率和效果。</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hint="eastAsia"/>
          <w:b/>
          <w:color w:val="000000" w:themeColor="text1"/>
          <w:sz w:val="24"/>
        </w:rPr>
        <w:t>技术：北京市将大数据等技术融入治理过程，强化科技赋能，用数字化手段帮助解决群众诉求，使城市治理更加主动智能、精细精准，推动政府服务的供给侧结构性改革。</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任选两个角度回答即可</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18</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(15</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以人为本，智能向善。</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黑体" w:hAnsi="Times New Roman" w:cs="Times New Roman"/>
          <w:b/>
          <w:color w:val="000000" w:themeColor="text1"/>
          <w:sz w:val="24"/>
        </w:rPr>
        <w:t>材料一</w:t>
      </w:r>
      <w:r w:rsidRPr="002A0AF6">
        <w:rPr>
          <w:rFonts w:ascii="Times New Roman" w:eastAsia="楷体" w:hAnsi="Times New Roman" w:cs="Times New Roman"/>
          <w:b/>
          <w:color w:val="000000" w:themeColor="text1"/>
          <w:sz w:val="24"/>
        </w:rPr>
        <w:t xml:space="preserve">　脑机接口被称为人脑与外界沟通交流的</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信息高速公路</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通过识别脑电波特征，读取人脑意图，实现人与外部设备之间的交互，其技术路径主要包括植入式和非植入式。目前，在医疗健康领域，脑机接口为神经系统疾病患者带来了新的治疗希望和康复途径，如帮助丧失行动能力的人在植入式手术后重拾运动机能。</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科技是发展的利器，也可能成为风险的源头。脑机接口技术是对大脑神</w:t>
      </w:r>
      <w:r w:rsidRPr="002A0AF6">
        <w:rPr>
          <w:rFonts w:ascii="Times New Roman" w:eastAsia="楷体" w:hAnsi="Times New Roman" w:cs="Times New Roman" w:hint="eastAsia"/>
          <w:b/>
          <w:color w:val="000000" w:themeColor="text1"/>
          <w:sz w:val="24"/>
        </w:rPr>
        <w:t>经活动的干预和指导，技术实施方要充分认识到该技术的使用可能会给人的身心和权利带来影响，对使用中可能导致的身心伤害与权利侵犯应采取严格的伦理审查措施。</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hint="eastAsia"/>
          <w:b/>
          <w:color w:val="000000" w:themeColor="text1"/>
          <w:sz w:val="24"/>
        </w:rPr>
        <w:t>我们要坚持科技向善，前瞻性研判脑机接口技术带来的挑战。《中华人民共和国民法典》坚持以人为本，人格权独立成编，有效协调了人格权请求权和侵权损害赔偿请求权的关系，采用多种方式实现对人格权的全面保护。脑机接口技术发展需要法律的保驾护航。</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结合材料一，运用</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民事权利与义务</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的知识，谈谈脑机接口技术应用会对哪些人格权益产生影响，以及如何依法保护这些人格权</w:t>
      </w:r>
      <w:r w:rsidRPr="002A0AF6">
        <w:rPr>
          <w:rFonts w:ascii="Times New Roman" w:eastAsia="宋体" w:hAnsi="Times New Roman" w:cs="Times New Roman" w:hint="eastAsia"/>
          <w:b/>
          <w:color w:val="000000" w:themeColor="text1"/>
          <w:sz w:val="24"/>
        </w:rPr>
        <w:t>益。</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黑体" w:hAnsi="Times New Roman" w:cs="Times New Roman"/>
          <w:b/>
          <w:color w:val="000000" w:themeColor="text1"/>
          <w:sz w:val="24"/>
        </w:rPr>
        <w:t>材料二</w:t>
      </w:r>
      <w:r w:rsidRPr="002A0AF6">
        <w:rPr>
          <w:rFonts w:ascii="Times New Roman" w:eastAsia="楷体" w:hAnsi="Times New Roman" w:cs="Times New Roman"/>
          <w:b/>
          <w:color w:val="000000" w:themeColor="text1"/>
          <w:sz w:val="24"/>
        </w:rPr>
        <w:t xml:space="preserve">　人工智能正深刻改变着人们的生产、生活、学习方式，推动人类社会迎来人机协同、跨界融合、共创分享的智能时代。其中，生成式人工智能已经在对话、写作、影像生成等领域展现出接近人类水平的创作能力，可以胜任多种复杂场景任务，降低了人们处理复杂问题的门槛。不过，生成式人工智能的输出内容依赖其数据集与算法，而且会受到提问方式的影响。若一味接受其输出的信息而缺乏甄别，可能会落入由算法和信息所虚构的</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真相陷阱</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。智能时代的机遇和挑战，对人的思维品质提出了更高要求。</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结合材料二，运用《逻辑与思维》的知识，分析如何提升思维品质以应对智能时代的机遇和挑战。</w:t>
      </w:r>
      <w:r w:rsidRPr="002A0AF6">
        <w:rPr>
          <w:rFonts w:ascii="Times New Roman" w:eastAsia="宋体" w:hAnsi="Times New Roman" w:cs="Times New Roman"/>
          <w:b/>
          <w:color w:val="000000" w:themeColor="text1"/>
          <w:sz w:val="24"/>
        </w:rPr>
        <w:t>(7</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可能影响的人格权益：</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生命权、身体权、健康权：脑机接口技术干预大脑神经活动，本身存在技术风险，若操作不当，可能导致使用者脑部损伤、生理机能异常，威胁使用者生命健康。</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隐私权、个人信息权益：脑机接口技术需识别脑电波特征、读取人脑意图，这些个人生理信息具有高度私密性，若数据的采集、存储、使用过程缺乏相应法律制度规范，容易导致个人生理信息泄露，侵害用户隐私权与个</w:t>
      </w:r>
      <w:r w:rsidRPr="002A0AF6">
        <w:rPr>
          <w:rFonts w:ascii="Times New Roman" w:eastAsia="宋体" w:hAnsi="Times New Roman" w:cs="Times New Roman" w:hint="eastAsia"/>
          <w:b/>
          <w:color w:val="000000" w:themeColor="text1"/>
          <w:sz w:val="24"/>
        </w:rPr>
        <w:t>人信息权益。</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hint="eastAsia"/>
          <w:b/>
          <w:color w:val="000000" w:themeColor="text1"/>
          <w:sz w:val="24"/>
        </w:rPr>
        <w:t>依法保护人格权益的措施：</w:t>
      </w:r>
      <w:r w:rsidRPr="002A0AF6">
        <w:rPr>
          <w:rFonts w:ascii="宋体" w:eastAsia="宋体" w:hAnsi="宋体" w:cs="Times New Roman" w:hint="eastAsia"/>
          <w:b/>
          <w:color w:val="000000" w:themeColor="text1"/>
          <w:sz w:val="24"/>
        </w:rPr>
        <w:t>①</w:t>
      </w:r>
      <w:r w:rsidRPr="002A0AF6">
        <w:rPr>
          <w:rFonts w:ascii="Times New Roman" w:eastAsia="宋体" w:hAnsi="Times New Roman" w:cs="Times New Roman" w:hint="eastAsia"/>
          <w:b/>
          <w:color w:val="000000" w:themeColor="text1"/>
          <w:sz w:val="24"/>
        </w:rPr>
        <w:t>若人格权益受到威胁或侵害，权利人可要求实施方停止侵害</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如停止违规数据采集</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、排除妨碍</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如消除信息泄露风险</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、消除危险</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如修复技术漏洞避免进一步伤害</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，及时止损。</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造成人身损害的，权利人可要求实施方赔偿医疗费、护理费、交通费、营养费、住院伙食补助费等为治疗和康复支出的合理费用，以及因误工减少的收入；造成残疾的，还应当赔偿辅助器具费和残疾赔偿金；造成死亡的，还应当赔偿丧葬费和死亡赔偿金；若造成严重精神损害的，可要求实施方赔偿精神损害抚慰金。</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坚持辩证思维，全面看</w:t>
      </w:r>
      <w:r w:rsidRPr="002A0AF6">
        <w:rPr>
          <w:rFonts w:ascii="Times New Roman" w:eastAsia="宋体" w:hAnsi="Times New Roman" w:cs="Times New Roman" w:hint="eastAsia"/>
          <w:b/>
          <w:color w:val="000000" w:themeColor="text1"/>
          <w:sz w:val="24"/>
        </w:rPr>
        <w:t>待人工智能，坚持辩证的否定观，既把握其效率价值，又警惕其可能造成的信息误导风险，避免片面肯定或否定。</w:t>
      </w:r>
      <w:r w:rsidRPr="002A0AF6">
        <w:rPr>
          <w:rFonts w:ascii="宋体" w:eastAsia="宋体" w:hAnsi="宋体" w:cs="Times New Roman" w:hint="eastAsia"/>
          <w:b/>
          <w:color w:val="000000" w:themeColor="text1"/>
          <w:sz w:val="24"/>
        </w:rPr>
        <w:t>②</w:t>
      </w:r>
      <w:r w:rsidRPr="002A0AF6">
        <w:rPr>
          <w:rFonts w:ascii="Times New Roman" w:eastAsia="宋体" w:hAnsi="Times New Roman" w:cs="Times New Roman" w:hint="eastAsia"/>
          <w:b/>
          <w:color w:val="000000" w:themeColor="text1"/>
          <w:sz w:val="24"/>
        </w:rPr>
        <w:t>强化逻辑思维，理性甄别信息，运用逻辑推理、实证验证等方式甄别内容，避免被虚构真相误导，提升思维的科学性与严谨性。</w:t>
      </w: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抓住智能时代机遇，需发挥创新思维，探索人工智能与人类协作的新场景，通过联想思维、发散思维、逆向思维，挖掘人机协同的更大价值，推动问题解决与产业升级。</w:t>
      </w:r>
      <w:r w:rsidRPr="002A0AF6">
        <w:rPr>
          <w:rFonts w:ascii="宋体" w:eastAsia="宋体" w:hAnsi="宋体" w:cs="Times New Roman" w:hint="eastAsia"/>
          <w:b/>
          <w:color w:val="000000" w:themeColor="text1"/>
          <w:sz w:val="24"/>
        </w:rPr>
        <w:t>④</w:t>
      </w:r>
      <w:r w:rsidRPr="002A0AF6">
        <w:rPr>
          <w:rFonts w:ascii="Times New Roman" w:eastAsia="宋体" w:hAnsi="Times New Roman" w:cs="Times New Roman" w:hint="eastAsia"/>
          <w:b/>
          <w:color w:val="000000" w:themeColor="text1"/>
          <w:sz w:val="24"/>
        </w:rPr>
        <w:t>在使用人工智能时，理解其算法逻辑与数据局限，依靠科学思维方法，如遵循逻辑规则进行推理、基于数据与事实分析问题，提升决策与实践的有效性。</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19</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(6</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十四五</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开局以来，北京深入推进全国文化中心建设，文化产业繁荣发展。数字技术创新与文化产业融合发展激发文化生产领域的重大变革，产生众多文化新业态，呈现出技术高效赋能、产业快速发展的态势，为文化产业高质量发展提供了广阔空间。</w:t>
      </w:r>
    </w:p>
    <w:p w:rsidR="0075731D" w:rsidRPr="002A0AF6" w:rsidRDefault="0075731D" w:rsidP="00F559B0">
      <w:pPr>
        <w:pStyle w:val="a3"/>
        <w:tabs>
          <w:tab w:val="left" w:pos="4200"/>
        </w:tabs>
        <w:snapToGrid w:val="0"/>
        <w:spacing w:line="360" w:lineRule="auto"/>
        <w:jc w:val="center"/>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fldChar w:fldCharType="begin"/>
      </w:r>
      <w:r w:rsidRPr="002A0AF6">
        <w:rPr>
          <w:rFonts w:ascii="Times New Roman" w:eastAsia="宋体" w:hAnsi="Times New Roman" w:cs="Times New Roman"/>
          <w:b/>
          <w:color w:val="000000" w:themeColor="text1"/>
          <w:sz w:val="24"/>
        </w:rPr>
        <w:instrText xml:space="preserve"> INCLUDEPICTURE  "25BJZ-12.tif" </w:instrText>
      </w:r>
      <w:r w:rsidRPr="002A0AF6">
        <w:rPr>
          <w:rFonts w:ascii="Times New Roman" w:eastAsia="宋体" w:hAnsi="Times New Roman" w:cs="Times New Roman"/>
          <w:b/>
          <w:color w:val="000000" w:themeColor="text1"/>
          <w:sz w:val="24"/>
        </w:rPr>
        <w:fldChar w:fldCharType="separate"/>
      </w:r>
      <w:r w:rsidR="002A0AF6" w:rsidRPr="002A0AF6">
        <w:rPr>
          <w:rFonts w:ascii="Times New Roman" w:eastAsia="宋体" w:hAnsi="Times New Roman" w:cs="Times New Roman"/>
          <w:b/>
          <w:color w:val="000000" w:themeColor="text1"/>
          <w:sz w:val="24"/>
        </w:rPr>
        <w:fldChar w:fldCharType="begin"/>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hint="eastAsia"/>
          <w:b/>
          <w:color w:val="000000" w:themeColor="text1"/>
          <w:sz w:val="24"/>
        </w:rPr>
        <w:instrText>INCLUDEPICTURE  "D:\\1.</w:instrText>
      </w:r>
      <w:r w:rsidR="002A0AF6" w:rsidRPr="002A0AF6">
        <w:rPr>
          <w:rFonts w:ascii="Times New Roman" w:eastAsia="宋体" w:hAnsi="Times New Roman" w:cs="Times New Roman" w:hint="eastAsia"/>
          <w:b/>
          <w:color w:val="000000" w:themeColor="text1"/>
          <w:sz w:val="24"/>
        </w:rPr>
        <w:instrText>王清爽</w:instrText>
      </w:r>
      <w:r w:rsidR="002A0AF6" w:rsidRPr="002A0AF6">
        <w:rPr>
          <w:rFonts w:ascii="Times New Roman" w:eastAsia="宋体" w:hAnsi="Times New Roman" w:cs="Times New Roman" w:hint="eastAsia"/>
          <w:b/>
          <w:color w:val="000000" w:themeColor="text1"/>
          <w:sz w:val="24"/>
        </w:rPr>
        <w:instrText>\\1.</w:instrText>
      </w:r>
      <w:r w:rsidR="002A0AF6" w:rsidRPr="002A0AF6">
        <w:rPr>
          <w:rFonts w:ascii="Times New Roman" w:eastAsia="宋体" w:hAnsi="Times New Roman" w:cs="Times New Roman" w:hint="eastAsia"/>
          <w:b/>
          <w:color w:val="000000" w:themeColor="text1"/>
          <w:sz w:val="24"/>
        </w:rPr>
        <w:instrText>课件</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高考题</w:instrText>
      </w:r>
      <w:r w:rsidR="002A0AF6" w:rsidRPr="002A0AF6">
        <w:rPr>
          <w:rFonts w:ascii="Times New Roman" w:eastAsia="宋体" w:hAnsi="Times New Roman" w:cs="Times New Roman" w:hint="eastAsia"/>
          <w:b/>
          <w:color w:val="000000" w:themeColor="text1"/>
          <w:sz w:val="24"/>
        </w:rPr>
        <w:instrText>\\25</w:instrText>
      </w:r>
      <w:r w:rsidR="002A0AF6" w:rsidRPr="002A0AF6">
        <w:rPr>
          <w:rFonts w:ascii="Times New Roman" w:eastAsia="宋体" w:hAnsi="Times New Roman" w:cs="Times New Roman" w:hint="eastAsia"/>
          <w:b/>
          <w:color w:val="000000" w:themeColor="text1"/>
          <w:sz w:val="24"/>
        </w:rPr>
        <w:instrText>年高考题</w:instrText>
      </w:r>
      <w:r w:rsidR="002A0AF6" w:rsidRPr="002A0AF6">
        <w:rPr>
          <w:rFonts w:ascii="Times New Roman" w:eastAsia="宋体" w:hAnsi="Times New Roman" w:cs="Times New Roman" w:hint="eastAsia"/>
          <w:b/>
          <w:color w:val="000000" w:themeColor="text1"/>
          <w:sz w:val="24"/>
        </w:rPr>
        <w:instrText>\\</w:instrText>
      </w:r>
      <w:r w:rsidR="002A0AF6" w:rsidRPr="002A0AF6">
        <w:rPr>
          <w:rFonts w:ascii="Times New Roman" w:eastAsia="宋体" w:hAnsi="Times New Roman" w:cs="Times New Roman" w:hint="eastAsia"/>
          <w:b/>
          <w:color w:val="000000" w:themeColor="text1"/>
          <w:sz w:val="24"/>
        </w:rPr>
        <w:instrText>政治</w:instrText>
      </w:r>
      <w:r w:rsidR="002A0AF6" w:rsidRPr="002A0AF6">
        <w:rPr>
          <w:rFonts w:ascii="Times New Roman" w:eastAsia="宋体" w:hAnsi="Times New Roman" w:cs="Times New Roman" w:hint="eastAsia"/>
          <w:b/>
          <w:color w:val="000000" w:themeColor="text1"/>
          <w:sz w:val="24"/>
        </w:rPr>
        <w:instrText>\\25BJZ-12.tif" \* MERGEFORMATINET</w:instrText>
      </w:r>
      <w:r w:rsidR="002A0AF6" w:rsidRPr="002A0AF6">
        <w:rPr>
          <w:rFonts w:ascii="Times New Roman" w:eastAsia="宋体" w:hAnsi="Times New Roman" w:cs="Times New Roman"/>
          <w:b/>
          <w:color w:val="000000" w:themeColor="text1"/>
          <w:sz w:val="24"/>
        </w:rPr>
        <w:instrText xml:space="preserve"> </w:instrText>
      </w:r>
      <w:r w:rsidR="002A0AF6" w:rsidRPr="002A0AF6">
        <w:rPr>
          <w:rFonts w:ascii="Times New Roman" w:eastAsia="宋体" w:hAnsi="Times New Roman" w:cs="Times New Roman"/>
          <w:b/>
          <w:color w:val="000000" w:themeColor="text1"/>
          <w:sz w:val="24"/>
        </w:rPr>
        <w:fldChar w:fldCharType="separate"/>
      </w:r>
      <w:r w:rsidR="000774ED">
        <w:rPr>
          <w:rFonts w:ascii="Times New Roman" w:eastAsia="宋体" w:hAnsi="Times New Roman" w:cs="Times New Roman"/>
          <w:b/>
          <w:color w:val="000000" w:themeColor="text1"/>
          <w:sz w:val="24"/>
        </w:rPr>
        <w:fldChar w:fldCharType="begin"/>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hint="eastAsia"/>
          <w:b/>
          <w:color w:val="000000" w:themeColor="text1"/>
          <w:sz w:val="24"/>
        </w:rPr>
        <w:instrText>INCLUDEPICTURE  "D:\\1.</w:instrText>
      </w:r>
      <w:r w:rsidR="000774ED">
        <w:rPr>
          <w:rFonts w:ascii="Times New Roman" w:eastAsia="宋体" w:hAnsi="Times New Roman" w:cs="Times New Roman" w:hint="eastAsia"/>
          <w:b/>
          <w:color w:val="000000" w:themeColor="text1"/>
          <w:sz w:val="24"/>
        </w:rPr>
        <w:instrText>王清爽</w:instrText>
      </w:r>
      <w:r w:rsidR="000774ED">
        <w:rPr>
          <w:rFonts w:ascii="Times New Roman" w:eastAsia="宋体" w:hAnsi="Times New Roman" w:cs="Times New Roman" w:hint="eastAsia"/>
          <w:b/>
          <w:color w:val="000000" w:themeColor="text1"/>
          <w:sz w:val="24"/>
        </w:rPr>
        <w:instrText>\\1.</w:instrText>
      </w:r>
      <w:r w:rsidR="000774ED">
        <w:rPr>
          <w:rFonts w:ascii="Times New Roman" w:eastAsia="宋体" w:hAnsi="Times New Roman" w:cs="Times New Roman" w:hint="eastAsia"/>
          <w:b/>
          <w:color w:val="000000" w:themeColor="text1"/>
          <w:sz w:val="24"/>
        </w:rPr>
        <w:instrText>课件</w:instrText>
      </w:r>
      <w:r w:rsidR="000774ED">
        <w:rPr>
          <w:rFonts w:ascii="Times New Roman" w:eastAsia="宋体" w:hAnsi="Times New Roman" w:cs="Times New Roman" w:hint="eastAsia"/>
          <w:b/>
          <w:color w:val="000000" w:themeColor="text1"/>
          <w:sz w:val="24"/>
        </w:rPr>
        <w:instrText>\\</w:instrText>
      </w:r>
      <w:r w:rsidR="000774ED">
        <w:rPr>
          <w:rFonts w:ascii="Times New Roman" w:eastAsia="宋体" w:hAnsi="Times New Roman" w:cs="Times New Roman" w:hint="eastAsia"/>
          <w:b/>
          <w:color w:val="000000" w:themeColor="text1"/>
          <w:sz w:val="24"/>
        </w:rPr>
        <w:instrText>高考题</w:instrText>
      </w:r>
      <w:r w:rsidR="000774ED">
        <w:rPr>
          <w:rFonts w:ascii="Times New Roman" w:eastAsia="宋体" w:hAnsi="Times New Roman" w:cs="Times New Roman" w:hint="eastAsia"/>
          <w:b/>
          <w:color w:val="000000" w:themeColor="text1"/>
          <w:sz w:val="24"/>
        </w:rPr>
        <w:instrText>\\9.</w:instrText>
      </w:r>
      <w:r w:rsidR="000774ED">
        <w:rPr>
          <w:rFonts w:ascii="Times New Roman" w:eastAsia="宋体" w:hAnsi="Times New Roman" w:cs="Times New Roman" w:hint="eastAsia"/>
          <w:b/>
          <w:color w:val="000000" w:themeColor="text1"/>
          <w:sz w:val="24"/>
        </w:rPr>
        <w:instrText>政治</w:instrText>
      </w:r>
      <w:r w:rsidR="000774ED">
        <w:rPr>
          <w:rFonts w:ascii="Times New Roman" w:eastAsia="宋体" w:hAnsi="Times New Roman" w:cs="Times New Roman" w:hint="eastAsia"/>
          <w:b/>
          <w:color w:val="000000" w:themeColor="text1"/>
          <w:sz w:val="24"/>
        </w:rPr>
        <w:instrText>\\2025</w:instrText>
      </w:r>
      <w:r w:rsidR="000774ED">
        <w:rPr>
          <w:rFonts w:ascii="Times New Roman" w:eastAsia="宋体" w:hAnsi="Times New Roman" w:cs="Times New Roman" w:hint="eastAsia"/>
          <w:b/>
          <w:color w:val="000000" w:themeColor="text1"/>
          <w:sz w:val="24"/>
        </w:rPr>
        <w:instrText>年</w:instrText>
      </w:r>
      <w:r w:rsidR="000774ED">
        <w:rPr>
          <w:rFonts w:ascii="Times New Roman" w:eastAsia="宋体" w:hAnsi="Times New Roman" w:cs="Times New Roman" w:hint="eastAsia"/>
          <w:b/>
          <w:color w:val="000000" w:themeColor="text1"/>
          <w:sz w:val="24"/>
        </w:rPr>
        <w:instrText>\\25BJZ-12.tif" \* MERGEFORMATINET</w:instrText>
      </w:r>
      <w:r w:rsidR="000774ED">
        <w:rPr>
          <w:rFonts w:ascii="Times New Roman" w:eastAsia="宋体" w:hAnsi="Times New Roman" w:cs="Times New Roman"/>
          <w:b/>
          <w:color w:val="000000" w:themeColor="text1"/>
          <w:sz w:val="24"/>
        </w:rPr>
        <w:instrText xml:space="preserve"> </w:instrText>
      </w:r>
      <w:r w:rsidR="000774ED">
        <w:rPr>
          <w:rFonts w:ascii="Times New Roman" w:eastAsia="宋体" w:hAnsi="Times New Roman" w:cs="Times New Roman"/>
          <w:b/>
          <w:color w:val="000000" w:themeColor="text1"/>
          <w:sz w:val="24"/>
        </w:rPr>
        <w:fldChar w:fldCharType="separate"/>
      </w:r>
      <w:r w:rsidR="00807D05">
        <w:rPr>
          <w:rFonts w:ascii="Times New Roman" w:eastAsia="宋体" w:hAnsi="Times New Roman" w:cs="Times New Roman"/>
          <w:b/>
          <w:color w:val="000000" w:themeColor="text1"/>
          <w:sz w:val="24"/>
        </w:rPr>
        <w:fldChar w:fldCharType="begin"/>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hint="eastAsia"/>
          <w:b/>
          <w:color w:val="000000" w:themeColor="text1"/>
          <w:sz w:val="24"/>
        </w:rPr>
        <w:instrText>INCLUDEPICTURE  "D:\\1.</w:instrText>
      </w:r>
      <w:r w:rsidR="00807D05">
        <w:rPr>
          <w:rFonts w:ascii="Times New Roman" w:eastAsia="宋体" w:hAnsi="Times New Roman" w:cs="Times New Roman" w:hint="eastAsia"/>
          <w:b/>
          <w:color w:val="000000" w:themeColor="text1"/>
          <w:sz w:val="24"/>
        </w:rPr>
        <w:instrText>王清爽</w:instrText>
      </w:r>
      <w:r w:rsidR="00807D05">
        <w:rPr>
          <w:rFonts w:ascii="Times New Roman" w:eastAsia="宋体" w:hAnsi="Times New Roman" w:cs="Times New Roman" w:hint="eastAsia"/>
          <w:b/>
          <w:color w:val="000000" w:themeColor="text1"/>
          <w:sz w:val="24"/>
        </w:rPr>
        <w:instrText>\\1.</w:instrText>
      </w:r>
      <w:r w:rsidR="00807D05">
        <w:rPr>
          <w:rFonts w:ascii="Times New Roman" w:eastAsia="宋体" w:hAnsi="Times New Roman" w:cs="Times New Roman" w:hint="eastAsia"/>
          <w:b/>
          <w:color w:val="000000" w:themeColor="text1"/>
          <w:sz w:val="24"/>
        </w:rPr>
        <w:instrText>课件</w:instrText>
      </w:r>
      <w:r w:rsidR="00807D05">
        <w:rPr>
          <w:rFonts w:ascii="Times New Roman" w:eastAsia="宋体" w:hAnsi="Times New Roman" w:cs="Times New Roman" w:hint="eastAsia"/>
          <w:b/>
          <w:color w:val="000000" w:themeColor="text1"/>
          <w:sz w:val="24"/>
        </w:rPr>
        <w:instrText>\\</w:instrText>
      </w:r>
      <w:r w:rsidR="00807D05">
        <w:rPr>
          <w:rFonts w:ascii="Times New Roman" w:eastAsia="宋体" w:hAnsi="Times New Roman" w:cs="Times New Roman" w:hint="eastAsia"/>
          <w:b/>
          <w:color w:val="000000" w:themeColor="text1"/>
          <w:sz w:val="24"/>
        </w:rPr>
        <w:instrText>高考题</w:instrText>
      </w:r>
      <w:r w:rsidR="00807D05">
        <w:rPr>
          <w:rFonts w:ascii="Times New Roman" w:eastAsia="宋体" w:hAnsi="Times New Roman" w:cs="Times New Roman" w:hint="eastAsia"/>
          <w:b/>
          <w:color w:val="000000" w:themeColor="text1"/>
          <w:sz w:val="24"/>
        </w:rPr>
        <w:instrText>\\9.</w:instrText>
      </w:r>
      <w:r w:rsidR="00807D05">
        <w:rPr>
          <w:rFonts w:ascii="Times New Roman" w:eastAsia="宋体" w:hAnsi="Times New Roman" w:cs="Times New Roman" w:hint="eastAsia"/>
          <w:b/>
          <w:color w:val="000000" w:themeColor="text1"/>
          <w:sz w:val="24"/>
        </w:rPr>
        <w:instrText>政治</w:instrText>
      </w:r>
      <w:r w:rsidR="00807D05">
        <w:rPr>
          <w:rFonts w:ascii="Times New Roman" w:eastAsia="宋体" w:hAnsi="Times New Roman" w:cs="Times New Roman" w:hint="eastAsia"/>
          <w:b/>
          <w:color w:val="000000" w:themeColor="text1"/>
          <w:sz w:val="24"/>
        </w:rPr>
        <w:instrText>\\2025</w:instrText>
      </w:r>
      <w:r w:rsidR="00807D05">
        <w:rPr>
          <w:rFonts w:ascii="Times New Roman" w:eastAsia="宋体" w:hAnsi="Times New Roman" w:cs="Times New Roman" w:hint="eastAsia"/>
          <w:b/>
          <w:color w:val="000000" w:themeColor="text1"/>
          <w:sz w:val="24"/>
        </w:rPr>
        <w:instrText>年</w:instrText>
      </w:r>
      <w:r w:rsidR="00807D05">
        <w:rPr>
          <w:rFonts w:ascii="Times New Roman" w:eastAsia="宋体" w:hAnsi="Times New Roman" w:cs="Times New Roman" w:hint="eastAsia"/>
          <w:b/>
          <w:color w:val="000000" w:themeColor="text1"/>
          <w:sz w:val="24"/>
        </w:rPr>
        <w:instrText>\\25BJZ-12.tif" \* MERGEFORMATINET</w:instrText>
      </w:r>
      <w:r w:rsidR="00807D05">
        <w:rPr>
          <w:rFonts w:ascii="Times New Roman" w:eastAsia="宋体" w:hAnsi="Times New Roman" w:cs="Times New Roman"/>
          <w:b/>
          <w:color w:val="000000" w:themeColor="text1"/>
          <w:sz w:val="24"/>
        </w:rPr>
        <w:instrText xml:space="preserve"> </w:instrText>
      </w:r>
      <w:r w:rsidR="00807D05">
        <w:rPr>
          <w:rFonts w:ascii="Times New Roman" w:eastAsia="宋体" w:hAnsi="Times New Roman" w:cs="Times New Roman"/>
          <w:b/>
          <w:color w:val="000000" w:themeColor="text1"/>
          <w:sz w:val="24"/>
        </w:rPr>
        <w:fldChar w:fldCharType="separate"/>
      </w:r>
      <w:r w:rsidR="00F559B0">
        <w:rPr>
          <w:rFonts w:ascii="Times New Roman" w:eastAsia="宋体" w:hAnsi="Times New Roman" w:cs="Times New Roman"/>
          <w:b/>
          <w:color w:val="000000" w:themeColor="text1"/>
          <w:sz w:val="24"/>
        </w:rPr>
        <w:pict>
          <v:shape id="_x0000_i1036" type="#_x0000_t75" style="width:226.75pt;height:146.15pt">
            <v:imagedata r:id="rId28" r:href="rId29"/>
          </v:shape>
        </w:pict>
      </w:r>
      <w:r w:rsidR="00807D05">
        <w:rPr>
          <w:rFonts w:ascii="Times New Roman" w:eastAsia="宋体" w:hAnsi="Times New Roman" w:cs="Times New Roman"/>
          <w:b/>
          <w:color w:val="000000" w:themeColor="text1"/>
          <w:sz w:val="24"/>
        </w:rPr>
        <w:fldChar w:fldCharType="end"/>
      </w:r>
      <w:r w:rsidR="000774ED">
        <w:rPr>
          <w:rFonts w:ascii="Times New Roman" w:eastAsia="宋体" w:hAnsi="Times New Roman" w:cs="Times New Roman"/>
          <w:b/>
          <w:color w:val="000000" w:themeColor="text1"/>
          <w:sz w:val="24"/>
        </w:rPr>
        <w:fldChar w:fldCharType="end"/>
      </w:r>
      <w:r w:rsidR="002A0AF6" w:rsidRPr="002A0AF6">
        <w:rPr>
          <w:rFonts w:ascii="Times New Roman" w:eastAsia="宋体" w:hAnsi="Times New Roman" w:cs="Times New Roman"/>
          <w:b/>
          <w:color w:val="000000" w:themeColor="text1"/>
          <w:sz w:val="24"/>
        </w:rPr>
        <w:fldChar w:fldCharType="end"/>
      </w:r>
      <w:r w:rsidRPr="002A0AF6">
        <w:rPr>
          <w:rFonts w:ascii="Times New Roman" w:eastAsia="宋体" w:hAnsi="Times New Roman" w:cs="Times New Roman"/>
          <w:b/>
          <w:color w:val="000000" w:themeColor="text1"/>
          <w:sz w:val="24"/>
        </w:rPr>
        <w:fldChar w:fldCharType="end"/>
      </w:r>
    </w:p>
    <w:p w:rsidR="0075731D" w:rsidRPr="002A0AF6" w:rsidRDefault="0075731D" w:rsidP="00F559B0">
      <w:pPr>
        <w:pStyle w:val="a3"/>
        <w:pBdr>
          <w:top w:val="single" w:sz="4" w:space="1" w:color="auto"/>
          <w:left w:val="single" w:sz="4" w:space="4" w:color="auto"/>
          <w:bottom w:val="single" w:sz="4" w:space="1" w:color="auto"/>
          <w:right w:val="single" w:sz="4" w:space="4" w:color="auto"/>
        </w:pBdr>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新业态特征明显的行业包括广播电视集成播控、互联网搜索服务、数字出版、互联网文化娱乐平台、版权和文化软件服务、可穿戴智能文化设备制造等。</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(1)</w:t>
      </w:r>
      <w:r w:rsidRPr="002A0AF6">
        <w:rPr>
          <w:rFonts w:ascii="Times New Roman" w:eastAsia="宋体" w:hAnsi="Times New Roman" w:cs="Times New Roman"/>
          <w:b/>
          <w:color w:val="000000" w:themeColor="text1"/>
          <w:sz w:val="24"/>
        </w:rPr>
        <w:t>读图，分析北京文化产业的发展变化。</w:t>
      </w: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Times New Roman" w:eastAsia="宋体" w:hAnsi="Times New Roman" w:cs="Times New Roman"/>
          <w:b/>
          <w:color w:val="000000" w:themeColor="text1"/>
          <w:sz w:val="24"/>
        </w:rPr>
        <w:t>结合材料，运用《经济与社会》的知识，谈谈北京文化新业态的发展变化如何促进文化内需。</w:t>
      </w:r>
      <w:r w:rsidRPr="002A0AF6">
        <w:rPr>
          <w:rFonts w:ascii="Times New Roman" w:eastAsia="宋体" w:hAnsi="Times New Roman" w:cs="Times New Roman"/>
          <w:b/>
          <w:color w:val="000000" w:themeColor="text1"/>
          <w:sz w:val="24"/>
        </w:rPr>
        <w:t>(4</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宋体" w:hAnsi="Times New Roman" w:cs="Times New Roman"/>
          <w:b/>
          <w:color w:val="000000" w:themeColor="text1"/>
          <w:sz w:val="24"/>
        </w:rPr>
        <w:t xml:space="preserve">　</w:t>
      </w:r>
      <w:r w:rsidRPr="002A0AF6">
        <w:rPr>
          <w:rFonts w:ascii="Times New Roman" w:eastAsia="宋体" w:hAnsi="Times New Roman" w:cs="Times New Roman"/>
          <w:b/>
          <w:color w:val="000000" w:themeColor="text1"/>
          <w:sz w:val="24"/>
        </w:rPr>
        <w:t>(1)2021—2024</w:t>
      </w:r>
      <w:r w:rsidRPr="002A0AF6">
        <w:rPr>
          <w:rFonts w:ascii="Times New Roman" w:eastAsia="宋体" w:hAnsi="Times New Roman" w:cs="Times New Roman"/>
          <w:b/>
          <w:color w:val="000000" w:themeColor="text1"/>
          <w:sz w:val="24"/>
        </w:rPr>
        <w:t>年，北京文化新业态的营业收入持续增长，文化新业态占全市文化企业营收的比重逐年增加。</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数字技术创新与文化产业融合发展，有利于推动传统文化产业转型升级，深化文化产业供给侧结构性改革，推动文化产业高质量发展。</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众多文化新业态的产生，有利于提供丰富多样的文化产品，激发文化消费潜力，提振文化消费市场，扩大文化内需。</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20</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(8</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2A0AF6">
        <w:rPr>
          <w:rFonts w:ascii="Times New Roman" w:eastAsia="楷体" w:hAnsi="Times New Roman" w:cs="Times New Roman"/>
          <w:b/>
          <w:color w:val="000000" w:themeColor="text1"/>
          <w:sz w:val="24"/>
        </w:rPr>
        <w:t>2025</w:t>
      </w:r>
      <w:r w:rsidRPr="002A0AF6">
        <w:rPr>
          <w:rFonts w:ascii="Times New Roman" w:eastAsia="楷体" w:hAnsi="Times New Roman" w:cs="Times New Roman"/>
          <w:b/>
          <w:color w:val="000000" w:themeColor="text1"/>
          <w:sz w:val="24"/>
        </w:rPr>
        <w:t>年</w:t>
      </w:r>
      <w:r w:rsidRPr="002A0AF6">
        <w:rPr>
          <w:rFonts w:ascii="Times New Roman" w:eastAsia="楷体" w:hAnsi="Times New Roman" w:cs="Times New Roman"/>
          <w:b/>
          <w:color w:val="000000" w:themeColor="text1"/>
          <w:sz w:val="24"/>
        </w:rPr>
        <w:t>5</w:t>
      </w:r>
      <w:r w:rsidRPr="002A0AF6">
        <w:rPr>
          <w:rFonts w:ascii="Times New Roman" w:eastAsia="楷体" w:hAnsi="Times New Roman" w:cs="Times New Roman"/>
          <w:b/>
          <w:color w:val="000000" w:themeColor="text1"/>
          <w:sz w:val="24"/>
        </w:rPr>
        <w:t>月</w:t>
      </w:r>
      <w:r w:rsidRPr="002A0AF6">
        <w:rPr>
          <w:rFonts w:ascii="Times New Roman" w:eastAsia="楷体" w:hAnsi="Times New Roman" w:cs="Times New Roman"/>
          <w:b/>
          <w:color w:val="000000" w:themeColor="text1"/>
          <w:sz w:val="24"/>
        </w:rPr>
        <w:t>13</w:t>
      </w:r>
      <w:r w:rsidRPr="002A0AF6">
        <w:rPr>
          <w:rFonts w:ascii="Times New Roman" w:eastAsia="楷体" w:hAnsi="Times New Roman" w:cs="Times New Roman"/>
          <w:b/>
          <w:color w:val="000000" w:themeColor="text1"/>
          <w:sz w:val="24"/>
        </w:rPr>
        <w:t>日，国家主席习近平在中国</w:t>
      </w:r>
      <w:r w:rsidRPr="002A0AF6">
        <w:rPr>
          <w:rFonts w:ascii="Times New Roman" w:eastAsia="楷体" w:hAnsi="Times New Roman" w:cs="Times New Roman"/>
          <w:b/>
          <w:color w:val="000000" w:themeColor="text1"/>
          <w:sz w:val="24"/>
        </w:rPr>
        <w:t>—</w:t>
      </w:r>
      <w:r w:rsidRPr="002A0AF6">
        <w:rPr>
          <w:rFonts w:ascii="Times New Roman" w:eastAsia="楷体" w:hAnsi="Times New Roman" w:cs="Times New Roman"/>
          <w:b/>
          <w:color w:val="000000" w:themeColor="text1"/>
          <w:sz w:val="24"/>
        </w:rPr>
        <w:t>拉美和加勒比国家共同体论坛第四届部长级会议开幕式上宣布，中方愿同拉方携手启动团结、发展、文明、和平、民心</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五大工程</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。此举将推动中拉双方在各自现代化征程上并肩前行，共同谱写构建中拉命运共同体新篇章。</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五大工程</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的主要内容如下：</w:t>
      </w:r>
    </w:p>
    <w:tbl>
      <w:tblPr>
        <w:tblW w:w="7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267"/>
      </w:tblGrid>
      <w:tr w:rsidR="002A0AF6" w:rsidRPr="002A0AF6" w:rsidTr="0075731D">
        <w:trPr>
          <w:jc w:val="center"/>
        </w:trPr>
        <w:tc>
          <w:tcPr>
            <w:tcW w:w="1236" w:type="dxa"/>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华文楷体" w:hAnsi="Times New Roman" w:cs="Times New Roman"/>
                <w:b/>
                <w:color w:val="000000" w:themeColor="text1"/>
                <w:sz w:val="24"/>
              </w:rPr>
            </w:pPr>
            <w:r w:rsidRPr="002A0AF6">
              <w:rPr>
                <w:rFonts w:ascii="Times New Roman" w:eastAsia="楷体" w:hAnsi="Times New Roman" w:cs="Times New Roman"/>
                <w:b/>
                <w:color w:val="000000" w:themeColor="text1"/>
                <w:sz w:val="24"/>
              </w:rPr>
              <w:t>团结工程</w:t>
            </w:r>
          </w:p>
        </w:tc>
        <w:tc>
          <w:tcPr>
            <w:tcW w:w="6267" w:type="dxa"/>
            <w:shd w:val="clear" w:color="auto" w:fill="auto"/>
            <w:vAlign w:val="center"/>
          </w:tcPr>
          <w:p w:rsidR="0075731D" w:rsidRPr="002A0AF6" w:rsidRDefault="0075731D" w:rsidP="00F559B0">
            <w:pPr>
              <w:pStyle w:val="a3"/>
              <w:tabs>
                <w:tab w:val="left" w:pos="4200"/>
              </w:tabs>
              <w:snapToGrid w:val="0"/>
              <w:spacing w:line="360" w:lineRule="auto"/>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坚定维护以联合国为核心的国际体系和以国际法为基础的国际秩序，在国际和地区事务中发出共同声音</w:t>
            </w:r>
          </w:p>
        </w:tc>
      </w:tr>
      <w:tr w:rsidR="002A0AF6" w:rsidRPr="002A0AF6" w:rsidTr="0075731D">
        <w:trPr>
          <w:jc w:val="center"/>
        </w:trPr>
        <w:tc>
          <w:tcPr>
            <w:tcW w:w="1236" w:type="dxa"/>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华文楷体" w:hAnsi="Times New Roman" w:cs="Times New Roman"/>
                <w:b/>
                <w:color w:val="000000" w:themeColor="text1"/>
                <w:sz w:val="24"/>
              </w:rPr>
            </w:pPr>
            <w:r w:rsidRPr="002A0AF6">
              <w:rPr>
                <w:rFonts w:ascii="Times New Roman" w:eastAsia="楷体" w:hAnsi="Times New Roman" w:cs="Times New Roman"/>
                <w:b/>
                <w:color w:val="000000" w:themeColor="text1"/>
                <w:sz w:val="24"/>
              </w:rPr>
              <w:t>发</w:t>
            </w:r>
            <w:r w:rsidRPr="002A0AF6">
              <w:rPr>
                <w:rFonts w:ascii="Times New Roman" w:eastAsia="楷体" w:hAnsi="Times New Roman" w:cs="Times New Roman" w:hint="eastAsia"/>
                <w:b/>
                <w:color w:val="000000" w:themeColor="text1"/>
                <w:sz w:val="24"/>
              </w:rPr>
              <w:t>展工程</w:t>
            </w:r>
          </w:p>
        </w:tc>
        <w:tc>
          <w:tcPr>
            <w:tcW w:w="6267" w:type="dxa"/>
            <w:shd w:val="clear" w:color="auto" w:fill="auto"/>
            <w:vAlign w:val="center"/>
          </w:tcPr>
          <w:p w:rsidR="0075731D" w:rsidRPr="002A0AF6" w:rsidRDefault="0075731D" w:rsidP="00F559B0">
            <w:pPr>
              <w:pStyle w:val="a3"/>
              <w:tabs>
                <w:tab w:val="left" w:pos="4200"/>
              </w:tabs>
              <w:snapToGrid w:val="0"/>
              <w:spacing w:line="360" w:lineRule="auto"/>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共同落实全球发展倡议，坚定维护多边贸易体制，维护全球产业链供应链稳定畅通，维护开放合作的国际环境</w:t>
            </w:r>
          </w:p>
        </w:tc>
      </w:tr>
      <w:tr w:rsidR="002A0AF6" w:rsidRPr="002A0AF6" w:rsidTr="0075731D">
        <w:trPr>
          <w:jc w:val="center"/>
        </w:trPr>
        <w:tc>
          <w:tcPr>
            <w:tcW w:w="1236" w:type="dxa"/>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华文楷体" w:hAnsi="Times New Roman" w:cs="Times New Roman"/>
                <w:b/>
                <w:color w:val="000000" w:themeColor="text1"/>
                <w:sz w:val="24"/>
              </w:rPr>
            </w:pPr>
            <w:r w:rsidRPr="002A0AF6">
              <w:rPr>
                <w:rFonts w:ascii="Times New Roman" w:eastAsia="楷体" w:hAnsi="Times New Roman" w:cs="Times New Roman"/>
                <w:b/>
                <w:color w:val="000000" w:themeColor="text1"/>
                <w:sz w:val="24"/>
              </w:rPr>
              <w:t>文明工程</w:t>
            </w:r>
          </w:p>
        </w:tc>
        <w:tc>
          <w:tcPr>
            <w:tcW w:w="6267" w:type="dxa"/>
            <w:shd w:val="clear" w:color="auto" w:fill="auto"/>
            <w:vAlign w:val="center"/>
          </w:tcPr>
          <w:p w:rsidR="0075731D" w:rsidRPr="002A0AF6" w:rsidRDefault="0075731D" w:rsidP="00F559B0">
            <w:pPr>
              <w:pStyle w:val="a3"/>
              <w:tabs>
                <w:tab w:val="left" w:pos="4200"/>
              </w:tabs>
              <w:snapToGrid w:val="0"/>
              <w:spacing w:line="360" w:lineRule="auto"/>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共同落实全球文明倡议，树立平等、互鉴、对话、包容的文明观，弘扬和平、发展、公平、正义、民主、自由的全人类共同价值</w:t>
            </w:r>
          </w:p>
        </w:tc>
      </w:tr>
      <w:tr w:rsidR="002A0AF6" w:rsidRPr="002A0AF6" w:rsidTr="0075731D">
        <w:trPr>
          <w:jc w:val="center"/>
        </w:trPr>
        <w:tc>
          <w:tcPr>
            <w:tcW w:w="1236" w:type="dxa"/>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华文楷体" w:hAnsi="Times New Roman" w:cs="Times New Roman"/>
                <w:b/>
                <w:color w:val="000000" w:themeColor="text1"/>
                <w:sz w:val="24"/>
              </w:rPr>
            </w:pPr>
            <w:r w:rsidRPr="002A0AF6">
              <w:rPr>
                <w:rFonts w:ascii="Times New Roman" w:eastAsia="楷体" w:hAnsi="Times New Roman" w:cs="Times New Roman"/>
                <w:b/>
                <w:color w:val="000000" w:themeColor="text1"/>
                <w:sz w:val="24"/>
              </w:rPr>
              <w:t>和平工程</w:t>
            </w:r>
          </w:p>
        </w:tc>
        <w:tc>
          <w:tcPr>
            <w:tcW w:w="6267" w:type="dxa"/>
            <w:shd w:val="clear" w:color="auto" w:fill="auto"/>
            <w:vAlign w:val="center"/>
          </w:tcPr>
          <w:p w:rsidR="0075731D" w:rsidRPr="002A0AF6" w:rsidRDefault="0075731D" w:rsidP="00F559B0">
            <w:pPr>
              <w:pStyle w:val="a3"/>
              <w:tabs>
                <w:tab w:val="left" w:pos="4200"/>
              </w:tabs>
              <w:snapToGrid w:val="0"/>
              <w:spacing w:line="360" w:lineRule="auto"/>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共同落实全球安全倡议，加强灾害治理、网络安全、反恐、反腐败、禁毒、打击跨国有组织犯罪等合作，努力维护地区安全稳定</w:t>
            </w:r>
          </w:p>
        </w:tc>
      </w:tr>
      <w:tr w:rsidR="002A0AF6" w:rsidRPr="002A0AF6" w:rsidTr="0075731D">
        <w:trPr>
          <w:jc w:val="center"/>
        </w:trPr>
        <w:tc>
          <w:tcPr>
            <w:tcW w:w="1236" w:type="dxa"/>
            <w:shd w:val="clear" w:color="auto" w:fill="auto"/>
            <w:vAlign w:val="center"/>
          </w:tcPr>
          <w:p w:rsidR="0075731D" w:rsidRPr="002A0AF6" w:rsidRDefault="0075731D" w:rsidP="00F559B0">
            <w:pPr>
              <w:pStyle w:val="a3"/>
              <w:tabs>
                <w:tab w:val="left" w:pos="4200"/>
              </w:tabs>
              <w:snapToGrid w:val="0"/>
              <w:spacing w:line="360" w:lineRule="auto"/>
              <w:jc w:val="center"/>
              <w:rPr>
                <w:rFonts w:ascii="Times New Roman" w:eastAsia="华文楷体" w:hAnsi="Times New Roman" w:cs="Times New Roman"/>
                <w:b/>
                <w:color w:val="000000" w:themeColor="text1"/>
                <w:sz w:val="24"/>
              </w:rPr>
            </w:pPr>
            <w:r w:rsidRPr="002A0AF6">
              <w:rPr>
                <w:rFonts w:ascii="Times New Roman" w:eastAsia="楷体" w:hAnsi="Times New Roman" w:cs="Times New Roman"/>
                <w:b/>
                <w:color w:val="000000" w:themeColor="text1"/>
                <w:sz w:val="24"/>
              </w:rPr>
              <w:t>民心工程</w:t>
            </w:r>
          </w:p>
        </w:tc>
        <w:tc>
          <w:tcPr>
            <w:tcW w:w="6267" w:type="dxa"/>
            <w:shd w:val="clear" w:color="auto" w:fill="auto"/>
            <w:vAlign w:val="center"/>
          </w:tcPr>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楷体" w:hAnsi="Times New Roman" w:cs="Times New Roman"/>
                <w:b/>
                <w:color w:val="000000" w:themeColor="text1"/>
                <w:sz w:val="24"/>
              </w:rPr>
              <w:t>未来</w:t>
            </w:r>
            <w:r w:rsidRPr="002A0AF6">
              <w:rPr>
                <w:rFonts w:ascii="Times New Roman" w:eastAsia="楷体" w:hAnsi="Times New Roman" w:cs="Times New Roman"/>
                <w:b/>
                <w:color w:val="000000" w:themeColor="text1"/>
                <w:sz w:val="24"/>
              </w:rPr>
              <w:t>3</w:t>
            </w:r>
            <w:r w:rsidRPr="002A0AF6">
              <w:rPr>
                <w:rFonts w:ascii="Times New Roman" w:eastAsia="楷体" w:hAnsi="Times New Roman" w:cs="Times New Roman"/>
                <w:b/>
                <w:color w:val="000000" w:themeColor="text1"/>
                <w:sz w:val="24"/>
              </w:rPr>
              <w:t>年，中方将向拉共体成员国提供多项教育培训计划，实施</w:t>
            </w:r>
            <w:r w:rsidRPr="002A0AF6">
              <w:rPr>
                <w:rFonts w:ascii="Times New Roman" w:eastAsia="楷体" w:hAnsi="Times New Roman" w:cs="Times New Roman"/>
                <w:b/>
                <w:color w:val="000000" w:themeColor="text1"/>
                <w:sz w:val="24"/>
              </w:rPr>
              <w:t>300</w:t>
            </w:r>
            <w:r w:rsidRPr="002A0AF6">
              <w:rPr>
                <w:rFonts w:ascii="Times New Roman" w:eastAsia="楷体" w:hAnsi="Times New Roman" w:cs="Times New Roman"/>
                <w:b/>
                <w:color w:val="000000" w:themeColor="text1"/>
                <w:sz w:val="24"/>
              </w:rPr>
              <w:t>个</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小而美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民生项目</w:t>
            </w:r>
          </w:p>
        </w:tc>
      </w:tr>
    </w:tbl>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党的二十大报告提出，中国推动构建新型国际关系，致力于扩大同各国利益的汇合点。结合材料，运用《当代国际政治与经济》的知识，阐释</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五大工程</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如何扩大中拉利益汇合点。</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宋体" w:hAnsi="Times New Roman" w:cs="Times New Roman"/>
          <w:b/>
          <w:color w:val="000000" w:themeColor="text1"/>
          <w:sz w:val="24"/>
        </w:rPr>
        <w:t xml:space="preserve">　</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发挥联合国在国际事务中的重要作用，共同维护以联合国为核心的国际体系，推动中拉关系民主化。</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深化中拉合作，构建共商共建共享的经济发展新秩序。</w:t>
      </w:r>
      <w:r w:rsidRPr="002A0AF6">
        <w:rPr>
          <w:rFonts w:ascii="宋体" w:eastAsia="宋体" w:hAnsi="宋体" w:cs="Times New Roman"/>
          <w:b/>
          <w:color w:val="000000" w:themeColor="text1"/>
          <w:sz w:val="24"/>
        </w:rPr>
        <w:t>③</w:t>
      </w:r>
      <w:r w:rsidRPr="002A0AF6">
        <w:rPr>
          <w:rFonts w:ascii="Times New Roman" w:eastAsia="宋体" w:hAnsi="Times New Roman" w:cs="Times New Roman"/>
          <w:b/>
          <w:color w:val="000000" w:themeColor="text1"/>
          <w:sz w:val="24"/>
        </w:rPr>
        <w:t>以开放包容的胸怀，尊重文明多样性，坚持交流互鉴合作，促进中拉文明繁荣发展。</w:t>
      </w:r>
      <w:r w:rsidRPr="002A0AF6">
        <w:rPr>
          <w:rFonts w:ascii="宋体" w:eastAsia="宋体" w:hAnsi="宋体" w:cs="Times New Roman"/>
          <w:b/>
          <w:color w:val="000000" w:themeColor="text1"/>
          <w:sz w:val="24"/>
        </w:rPr>
        <w:t>④</w:t>
      </w:r>
      <w:r w:rsidRPr="002A0AF6">
        <w:rPr>
          <w:rFonts w:ascii="Times New Roman" w:eastAsia="宋体" w:hAnsi="Times New Roman" w:cs="Times New Roman"/>
          <w:b/>
          <w:color w:val="000000" w:themeColor="text1"/>
          <w:sz w:val="24"/>
        </w:rPr>
        <w:t>维护世界和平，促进共同发展，构建人类命运共同体，完善全球治理体系，维护地区稳定。</w:t>
      </w:r>
      <w:r w:rsidRPr="002A0AF6">
        <w:rPr>
          <w:rFonts w:ascii="宋体" w:eastAsia="宋体" w:hAnsi="宋体" w:cs="Times New Roman"/>
          <w:b/>
          <w:color w:val="000000" w:themeColor="text1"/>
          <w:sz w:val="24"/>
        </w:rPr>
        <w:t>⑤</w:t>
      </w:r>
      <w:r w:rsidRPr="002A0AF6">
        <w:rPr>
          <w:rFonts w:ascii="Times New Roman" w:eastAsia="宋体" w:hAnsi="Times New Roman" w:cs="Times New Roman"/>
          <w:b/>
          <w:color w:val="000000" w:themeColor="text1"/>
          <w:sz w:val="24"/>
        </w:rPr>
        <w:t>坚持正确义</w:t>
      </w:r>
      <w:r w:rsidRPr="002A0AF6">
        <w:rPr>
          <w:rFonts w:ascii="Times New Roman" w:eastAsia="宋体" w:hAnsi="Times New Roman" w:cs="Times New Roman" w:hint="eastAsia"/>
          <w:b/>
          <w:color w:val="000000" w:themeColor="text1"/>
          <w:sz w:val="24"/>
        </w:rPr>
        <w:t>利观，开展多样化民生合作项目，造福中拉人民。</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21</w:t>
      </w:r>
      <w:r w:rsidRPr="002A0AF6">
        <w:rPr>
          <w:rFonts w:ascii="Times New Roman" w:eastAsia="宋体" w:hAnsi="Times New Roman" w:cs="Times New Roman" w:hint="eastAsia"/>
          <w:b/>
          <w:color w:val="000000" w:themeColor="text1"/>
          <w:sz w:val="24"/>
        </w:rPr>
        <w:t>．</w:t>
      </w:r>
      <w:r w:rsidRPr="002A0AF6">
        <w:rPr>
          <w:rFonts w:ascii="Times New Roman" w:eastAsia="宋体" w:hAnsi="Times New Roman" w:cs="Times New Roman"/>
          <w:b/>
          <w:color w:val="000000" w:themeColor="text1"/>
          <w:sz w:val="24"/>
        </w:rPr>
        <w:t>(10</w:t>
      </w:r>
      <w:r w:rsidRPr="002A0AF6">
        <w:rPr>
          <w:rFonts w:ascii="Times New Roman" w:eastAsia="宋体" w:hAnsi="Times New Roman" w:cs="Times New Roman"/>
          <w:b/>
          <w:color w:val="000000" w:themeColor="text1"/>
          <w:sz w:val="24"/>
        </w:rPr>
        <w:t>分</w:t>
      </w:r>
      <w:r w:rsidRPr="002A0AF6">
        <w:rPr>
          <w:rFonts w:ascii="Times New Roman" w:eastAsia="宋体" w:hAnsi="Times New Roman" w:cs="Times New Roman"/>
          <w:b/>
          <w:color w:val="000000" w:themeColor="text1"/>
          <w:sz w:val="24"/>
        </w:rPr>
        <w:t>)</w:t>
      </w:r>
      <w:r w:rsidRPr="002A0AF6">
        <w:rPr>
          <w:rFonts w:ascii="Times New Roman" w:eastAsia="宋体" w:hAnsi="Times New Roman" w:cs="Times New Roman"/>
          <w:b/>
          <w:color w:val="000000" w:themeColor="text1"/>
          <w:sz w:val="24"/>
        </w:rPr>
        <w:t>某中学开展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青年视角与中国式现代化</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系列教育活动，思政教师与同学们围绕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促进城乡融合发展</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这一主题展开讨论。</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教师：党的十八大以来，以习近平同志为核心的党中央高度重视解决城乡发展不平衡问题，从</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统筹城乡发展</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到</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健全城乡发展一体化体制机制</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，再到</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建立健全城乡融合发展体制机制和政策体系</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，特别是党的二十届三中全会提出</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完善城乡融合发展体制机制</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，强调</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城乡融合发展是中国式现代化的必然要求</w:t>
      </w:r>
      <w:r w:rsidRPr="00A73771">
        <w:rPr>
          <w:rFonts w:ascii="宋体" w:eastAsia="宋体" w:hAnsi="宋体" w:cs="Times New Roman"/>
          <w:b/>
          <w:color w:val="000000" w:themeColor="text1"/>
          <w:sz w:val="24"/>
        </w:rPr>
        <w:t>”</w:t>
      </w:r>
      <w:r w:rsidRPr="002A0AF6">
        <w:rPr>
          <w:rFonts w:ascii="Times New Roman" w:eastAsia="楷体" w:hAnsi="Times New Roman" w:cs="Times New Roman"/>
          <w:b/>
          <w:color w:val="000000" w:themeColor="text1"/>
          <w:sz w:val="24"/>
        </w:rPr>
        <w:t>，不断深化对城乡融合发展的认识。</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b/>
          <w:color w:val="000000" w:themeColor="text1"/>
          <w:sz w:val="24"/>
        </w:rPr>
        <w:t>同学</w:t>
      </w:r>
      <w:r w:rsidRPr="002A0AF6">
        <w:rPr>
          <w:rFonts w:ascii="Times New Roman" w:eastAsia="楷体" w:hAnsi="Times New Roman" w:cs="Times New Roman" w:hint="eastAsia"/>
          <w:b/>
          <w:color w:val="000000" w:themeColor="text1"/>
          <w:sz w:val="24"/>
        </w:rPr>
        <w:t>甲：确实，咱们国家直面城乡发展不平衡问题，在这方面下了不少功夫。城乡融合发展工作机制不断健全，城乡要素流动更加顺畅高效，城乡基础设施一体化水平显著提升，城乡基本公共服务均等化深入推进，城乡产业协同发展加快推进，城乡居民收入差距持续缩小。</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Times New Roman" w:eastAsia="楷体" w:hAnsi="Times New Roman" w:cs="Times New Roman" w:hint="eastAsia"/>
          <w:b/>
          <w:color w:val="000000" w:themeColor="text1"/>
          <w:sz w:val="24"/>
        </w:rPr>
        <w:t>同学乙：我注意到党的二十届三中全会提出</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必须统筹新型工业化、新型城镇化和乡村全面振兴</w:t>
      </w:r>
      <w:r w:rsidRPr="00A73771">
        <w:rPr>
          <w:rFonts w:ascii="宋体" w:eastAsia="宋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，促进城乡共同繁荣发展。对此，我收集到以下资料：</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宋体" w:eastAsia="楷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新型工业化是构建城乡融合发展新格局的重要途径。新型工业化驱动新一代信息技术在乡村振兴领域深入应用，深刻改变农业生产方式、农村治理方式和农民生活方式。</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color w:val="000000" w:themeColor="text1"/>
          <w:sz w:val="24"/>
        </w:rPr>
      </w:pPr>
      <w:r w:rsidRPr="002A0AF6">
        <w:rPr>
          <w:rFonts w:ascii="宋体" w:eastAsia="楷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新型城镇化是构建城乡融合发展新格局的关键举措。发挥县城连接城市、服务乡村作用，促进大中小城市和小城镇协调发展，推动形成疏密有致、分工协作、功能完善的城镇化空间格局。</w:t>
      </w:r>
    </w:p>
    <w:p w:rsidR="0075731D" w:rsidRPr="002A0AF6" w:rsidRDefault="0075731D" w:rsidP="00F559B0">
      <w:pPr>
        <w:pStyle w:val="a3"/>
        <w:tabs>
          <w:tab w:val="left" w:pos="4200"/>
        </w:tabs>
        <w:overflowPunct w:val="0"/>
        <w:snapToGrid w:val="0"/>
        <w:spacing w:line="360" w:lineRule="auto"/>
        <w:ind w:firstLineChars="200" w:firstLine="482"/>
        <w:textAlignment w:val="center"/>
        <w:rPr>
          <w:rFonts w:ascii="Times New Roman" w:eastAsia="宋体" w:hAnsi="Times New Roman" w:cs="Times New Roman"/>
          <w:b/>
          <w:color w:val="000000" w:themeColor="text1"/>
          <w:sz w:val="24"/>
        </w:rPr>
      </w:pPr>
      <w:r w:rsidRPr="002A0AF6">
        <w:rPr>
          <w:rFonts w:ascii="宋体" w:eastAsia="楷体" w:hAnsi="宋体" w:cs="Times New Roman" w:hint="eastAsia"/>
          <w:b/>
          <w:color w:val="000000" w:themeColor="text1"/>
          <w:sz w:val="24"/>
        </w:rPr>
        <w:t>◇</w:t>
      </w:r>
      <w:r w:rsidRPr="002A0AF6">
        <w:rPr>
          <w:rFonts w:ascii="Times New Roman" w:eastAsia="楷体" w:hAnsi="Times New Roman" w:cs="Times New Roman" w:hint="eastAsia"/>
          <w:b/>
          <w:color w:val="000000" w:themeColor="text1"/>
          <w:sz w:val="24"/>
        </w:rPr>
        <w:t>乡村全面振兴是构建城乡融合发展新格局的有效检验。一方面，城乡融合发展是让农业农村在现代化进程中不掉队赶上来的战略回应和必然选择，是推进</w:t>
      </w:r>
      <w:r w:rsidRPr="002A0AF6">
        <w:rPr>
          <w:rFonts w:ascii="Times New Roman" w:eastAsia="楷体" w:hAnsi="Times New Roman" w:cs="Times New Roman"/>
          <w:b/>
          <w:color w:val="000000" w:themeColor="text1"/>
          <w:sz w:val="24"/>
        </w:rPr>
        <w:t>乡村全面振兴的重要保障。另一方面，只有实现了乡村的全面振兴，才能真正形成高水平的城乡融合发展格局。</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宋体" w:hAnsi="Times New Roman" w:cs="Times New Roman"/>
          <w:b/>
          <w:color w:val="000000" w:themeColor="text1"/>
          <w:sz w:val="24"/>
        </w:rPr>
        <w:t>请你参与他们的讨论，综合运用所学知识，谈谈对</w:t>
      </w:r>
      <w:r w:rsidRPr="00A73771">
        <w:rPr>
          <w:rFonts w:ascii="宋体" w:eastAsia="宋体" w:hAnsi="宋体" w:cs="Times New Roman"/>
          <w:b/>
          <w:color w:val="000000" w:themeColor="text1"/>
          <w:sz w:val="24"/>
        </w:rPr>
        <w:t>“</w:t>
      </w:r>
      <w:r w:rsidRPr="002A0AF6">
        <w:rPr>
          <w:rFonts w:ascii="Times New Roman" w:eastAsia="宋体" w:hAnsi="Times New Roman" w:cs="Times New Roman"/>
          <w:b/>
          <w:color w:val="000000" w:themeColor="text1"/>
          <w:sz w:val="24"/>
        </w:rPr>
        <w:t>城乡融合发展是中国</w:t>
      </w:r>
      <w:r w:rsidRPr="002A0AF6">
        <w:rPr>
          <w:rFonts w:ascii="Times New Roman" w:eastAsia="宋体" w:hAnsi="Times New Roman" w:cs="Times New Roman" w:hint="eastAsia"/>
          <w:b/>
          <w:color w:val="000000" w:themeColor="text1"/>
          <w:sz w:val="24"/>
        </w:rPr>
        <w:t>式现代化的必然要求</w:t>
      </w:r>
      <w:r w:rsidRPr="00A73771">
        <w:rPr>
          <w:rFonts w:ascii="宋体" w:eastAsia="宋体" w:hAnsi="宋体" w:cs="Times New Roman" w:hint="eastAsia"/>
          <w:b/>
          <w:color w:val="000000" w:themeColor="text1"/>
          <w:sz w:val="24"/>
        </w:rPr>
        <w:t>”</w:t>
      </w:r>
      <w:r w:rsidRPr="002A0AF6">
        <w:rPr>
          <w:rFonts w:ascii="Times New Roman" w:eastAsia="宋体" w:hAnsi="Times New Roman" w:cs="Times New Roman" w:hint="eastAsia"/>
          <w:b/>
          <w:color w:val="000000" w:themeColor="text1"/>
          <w:sz w:val="24"/>
        </w:rPr>
        <w:t>的认识。</w:t>
      </w:r>
    </w:p>
    <w:p w:rsidR="0075731D" w:rsidRPr="002A0AF6" w:rsidRDefault="0075731D" w:rsidP="00F559B0">
      <w:pPr>
        <w:pStyle w:val="a3"/>
        <w:tabs>
          <w:tab w:val="left" w:pos="4200"/>
        </w:tabs>
        <w:snapToGrid w:val="0"/>
        <w:spacing w:line="360" w:lineRule="auto"/>
        <w:rPr>
          <w:rFonts w:ascii="Times New Roman" w:eastAsia="宋体" w:hAnsi="Times New Roman" w:cs="Times New Roman"/>
          <w:b/>
          <w:color w:val="000000" w:themeColor="text1"/>
          <w:sz w:val="24"/>
        </w:rPr>
      </w:pPr>
      <w:r w:rsidRPr="002A0AF6">
        <w:rPr>
          <w:rFonts w:ascii="Times New Roman" w:eastAsia="黑体" w:hAnsi="Times New Roman" w:cs="Times New Roman"/>
          <w:b/>
          <w:color w:val="FF0000"/>
          <w:sz w:val="24"/>
        </w:rPr>
        <w:t>[</w:t>
      </w:r>
      <w:r w:rsidRPr="002A0AF6">
        <w:rPr>
          <w:rFonts w:ascii="Times New Roman" w:eastAsia="黑体" w:hAnsi="Times New Roman" w:cs="Times New Roman"/>
          <w:b/>
          <w:color w:val="FF0000"/>
          <w:sz w:val="24"/>
        </w:rPr>
        <w:t>答案</w:t>
      </w:r>
      <w:r w:rsidRPr="002A0AF6">
        <w:rPr>
          <w:rFonts w:ascii="Times New Roman" w:eastAsia="黑体" w:hAnsi="Times New Roman" w:cs="Times New Roman"/>
          <w:b/>
          <w:color w:val="FF0000"/>
          <w:sz w:val="24"/>
        </w:rPr>
        <w:t>]</w:t>
      </w:r>
      <w:r w:rsidRPr="002A0AF6">
        <w:rPr>
          <w:rFonts w:ascii="Times New Roman" w:eastAsia="宋体" w:hAnsi="Times New Roman" w:cs="Times New Roman"/>
          <w:b/>
          <w:color w:val="000000" w:themeColor="text1"/>
          <w:sz w:val="24"/>
        </w:rPr>
        <w:t xml:space="preserve">　</w:t>
      </w:r>
      <w:r w:rsidRPr="002A0AF6">
        <w:rPr>
          <w:rFonts w:ascii="宋体" w:eastAsia="宋体" w:hAnsi="宋体" w:cs="Times New Roman"/>
          <w:b/>
          <w:color w:val="000000" w:themeColor="text1"/>
          <w:sz w:val="24"/>
        </w:rPr>
        <w:t>①</w:t>
      </w:r>
      <w:r w:rsidRPr="002A0AF6">
        <w:rPr>
          <w:rFonts w:ascii="Times New Roman" w:eastAsia="宋体" w:hAnsi="Times New Roman" w:cs="Times New Roman"/>
          <w:b/>
          <w:color w:val="000000" w:themeColor="text1"/>
          <w:sz w:val="24"/>
        </w:rPr>
        <w:t>中国式现代化是全体人民共同富裕的现代化。新时代我国社会主要矛盾是人民日益增长的美好生活需要和不平衡不充分的发展之间的矛盾，为此，必须坚持以人民为中心的发展思想，统筹城乡发展，解决城乡发展不平衡问题。</w:t>
      </w:r>
      <w:r w:rsidRPr="002A0AF6">
        <w:rPr>
          <w:rFonts w:ascii="宋体" w:eastAsia="宋体" w:hAnsi="宋体" w:cs="Times New Roman"/>
          <w:b/>
          <w:color w:val="000000" w:themeColor="text1"/>
          <w:sz w:val="24"/>
        </w:rPr>
        <w:t>②</w:t>
      </w:r>
      <w:r w:rsidRPr="002A0AF6">
        <w:rPr>
          <w:rFonts w:ascii="Times New Roman" w:eastAsia="宋体" w:hAnsi="Times New Roman" w:cs="Times New Roman"/>
          <w:b/>
          <w:color w:val="000000" w:themeColor="text1"/>
          <w:sz w:val="24"/>
        </w:rPr>
        <w:t>共同富裕是中国特色社会主义和中国式现代化的本质要求。我国坚持公有制为主体、多种所有制经济共同发展，坚持按劳分配为主体、多种分配方式并存，把促进全体人民实现共同富裕作为社会主义市场经济体制的根本目标。在以中国式现代化实现中华民族伟大复兴的进程中</w:t>
      </w:r>
      <w:r w:rsidRPr="002A0AF6">
        <w:rPr>
          <w:rFonts w:ascii="Times New Roman" w:eastAsia="宋体" w:hAnsi="Times New Roman" w:cs="Times New Roman" w:hint="eastAsia"/>
          <w:b/>
          <w:color w:val="000000" w:themeColor="text1"/>
          <w:sz w:val="24"/>
        </w:rPr>
        <w:t>，必须全面贯彻新发展理念，实施乡村振兴战略，推动城乡融合发展。</w:t>
      </w:r>
      <w:r w:rsidRPr="002A0AF6">
        <w:rPr>
          <w:rFonts w:ascii="宋体" w:eastAsia="宋体" w:hAnsi="宋体" w:cs="Times New Roman" w:hint="eastAsia"/>
          <w:b/>
          <w:color w:val="000000" w:themeColor="text1"/>
          <w:sz w:val="24"/>
        </w:rPr>
        <w:t>③</w:t>
      </w:r>
      <w:r w:rsidRPr="002A0AF6">
        <w:rPr>
          <w:rFonts w:ascii="Times New Roman" w:eastAsia="宋体" w:hAnsi="Times New Roman" w:cs="Times New Roman" w:hint="eastAsia"/>
          <w:b/>
          <w:color w:val="000000" w:themeColor="text1"/>
          <w:sz w:val="24"/>
        </w:rPr>
        <w:t>我国是人民民主专政的社会主义国家，本质与核心是人民当家作主，全过程人民民主是最广泛、最真实、最管用的民主。在中国式现代化进程中，统筹新型工业化、新型城镇化和乡村全面振兴，促进城乡融合发展，深入推进城乡基本公共服务均等化，有利于切实保障城乡居民的合法权益。</w:t>
      </w:r>
    </w:p>
    <w:sectPr w:rsidR="0075731D" w:rsidRPr="002A0AF6" w:rsidSect="002A0AF6">
      <w:footerReference w:type="default" r:id="rId30"/>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7D05" w:rsidRDefault="00807D05" w:rsidP="00454A9A">
      <w:r>
        <w:separator/>
      </w:r>
    </w:p>
  </w:endnote>
  <w:endnote w:type="continuationSeparator" w:id="0">
    <w:p w:rsidR="00807D05" w:rsidRDefault="00807D05" w:rsidP="00454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3771" w:rsidRDefault="00A73771" w:rsidP="00A73771">
    <w:pPr>
      <w:pStyle w:val="a7"/>
      <w:jc w:val="center"/>
    </w:pPr>
    <w:r>
      <w:fldChar w:fldCharType="begin"/>
    </w:r>
    <w:r>
      <w:instrText xml:space="preserve"> PAGE  \* MERGEFORMAT </w:instrText>
    </w:r>
    <w:r>
      <w:fldChar w:fldCharType="separate"/>
    </w:r>
    <w:r w:rsidR="00807D05">
      <w:rPr>
        <w:noProof/>
      </w:rPr>
      <w:t>1</w:t>
    </w:r>
    <w:r>
      <w:fldChar w:fldCharType="end"/>
    </w:r>
    <w:r>
      <w:t>/</w:t>
    </w:r>
    <w:fldSimple w:instr=" NUMPAGES  \* MERGEFORMAT ">
      <w:r w:rsidR="00807D05">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7D05" w:rsidRDefault="00807D05" w:rsidP="00454A9A">
      <w:r>
        <w:separator/>
      </w:r>
    </w:p>
  </w:footnote>
  <w:footnote w:type="continuationSeparator" w:id="0">
    <w:p w:rsidR="00807D05" w:rsidRDefault="00807D05" w:rsidP="00454A9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0774ED"/>
    <w:rsid w:val="00106F55"/>
    <w:rsid w:val="001244A3"/>
    <w:rsid w:val="001D1ED3"/>
    <w:rsid w:val="001D3580"/>
    <w:rsid w:val="00221958"/>
    <w:rsid w:val="00246B59"/>
    <w:rsid w:val="0026699D"/>
    <w:rsid w:val="00271373"/>
    <w:rsid w:val="002A0AF6"/>
    <w:rsid w:val="00327FAD"/>
    <w:rsid w:val="00374759"/>
    <w:rsid w:val="004379E2"/>
    <w:rsid w:val="00454A9A"/>
    <w:rsid w:val="004C34B4"/>
    <w:rsid w:val="004F09B8"/>
    <w:rsid w:val="006773A2"/>
    <w:rsid w:val="00684E81"/>
    <w:rsid w:val="0075731D"/>
    <w:rsid w:val="007C1D7F"/>
    <w:rsid w:val="00807D05"/>
    <w:rsid w:val="008A5DF3"/>
    <w:rsid w:val="0092543A"/>
    <w:rsid w:val="00991598"/>
    <w:rsid w:val="00A56400"/>
    <w:rsid w:val="00A73771"/>
    <w:rsid w:val="00AA0D76"/>
    <w:rsid w:val="00C1318E"/>
    <w:rsid w:val="00C206CC"/>
    <w:rsid w:val="00C77B38"/>
    <w:rsid w:val="00D14114"/>
    <w:rsid w:val="00D150D4"/>
    <w:rsid w:val="00D72132"/>
    <w:rsid w:val="00D920B8"/>
    <w:rsid w:val="00DC3528"/>
    <w:rsid w:val="00F559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53B99DD-1E83-4D4A-B2EF-64EFB69BB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A0AF6"/>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D14114"/>
    <w:rPr>
      <w:rFonts w:asciiTheme="minorEastAsia" w:hAnsi="Courier New" w:cs="Courier New"/>
    </w:rPr>
  </w:style>
  <w:style w:type="character" w:customStyle="1" w:styleId="a4">
    <w:name w:val="纯文本 字符"/>
    <w:basedOn w:val="a0"/>
    <w:link w:val="a3"/>
    <w:uiPriority w:val="99"/>
    <w:rsid w:val="00D14114"/>
    <w:rPr>
      <w:rFonts w:asciiTheme="minorEastAsia" w:hAnsi="Courier New" w:cs="Courier New"/>
    </w:rPr>
  </w:style>
  <w:style w:type="paragraph" w:styleId="a5">
    <w:name w:val="header"/>
    <w:basedOn w:val="a"/>
    <w:link w:val="a6"/>
    <w:uiPriority w:val="99"/>
    <w:unhideWhenUsed/>
    <w:rsid w:val="00454A9A"/>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454A9A"/>
    <w:rPr>
      <w:sz w:val="18"/>
      <w:szCs w:val="18"/>
    </w:rPr>
  </w:style>
  <w:style w:type="paragraph" w:styleId="a7">
    <w:name w:val="footer"/>
    <w:basedOn w:val="a"/>
    <w:link w:val="a8"/>
    <w:uiPriority w:val="99"/>
    <w:unhideWhenUsed/>
    <w:rsid w:val="00454A9A"/>
    <w:pPr>
      <w:tabs>
        <w:tab w:val="center" w:pos="4153"/>
        <w:tab w:val="right" w:pos="8306"/>
      </w:tabs>
      <w:snapToGrid w:val="0"/>
      <w:jc w:val="left"/>
    </w:pPr>
    <w:rPr>
      <w:sz w:val="18"/>
      <w:szCs w:val="18"/>
    </w:rPr>
  </w:style>
  <w:style w:type="character" w:customStyle="1" w:styleId="a8">
    <w:name w:val="页脚 字符"/>
    <w:basedOn w:val="a0"/>
    <w:link w:val="a7"/>
    <w:uiPriority w:val="99"/>
    <w:rsid w:val="00454A9A"/>
    <w:rPr>
      <w:sz w:val="18"/>
      <w:szCs w:val="18"/>
    </w:rPr>
  </w:style>
  <w:style w:type="character" w:customStyle="1" w:styleId="10">
    <w:name w:val="标题 1 字符"/>
    <w:basedOn w:val="a0"/>
    <w:link w:val="1"/>
    <w:uiPriority w:val="9"/>
    <w:rsid w:val="002A0AF6"/>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5BJZ-4.tif" TargetMode="External"/><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25BJZ-8.tif" TargetMode="External"/><Relationship Id="rId7" Type="http://schemas.openxmlformats.org/officeDocument/2006/relationships/image" Target="25BJZ-1.tif" TargetMode="External"/><Relationship Id="rId12" Type="http://schemas.openxmlformats.org/officeDocument/2006/relationships/image" Target="media/image4.png"/><Relationship Id="rId17" Type="http://schemas.openxmlformats.org/officeDocument/2006/relationships/image" Target="25BJZ-6.tif" TargetMode="External"/><Relationship Id="rId25" Type="http://schemas.openxmlformats.org/officeDocument/2006/relationships/image" Target="25BJZ-10.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5BJZ-12.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5BJZ-3.tif" TargetMode="Externa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5BJZ-5.tif" TargetMode="External"/><Relationship Id="rId23" Type="http://schemas.openxmlformats.org/officeDocument/2006/relationships/image" Target="25BJZ-9.tif" TargetMode="External"/><Relationship Id="rId28"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image" Target="25BJZ-7.tif"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25BJZ-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5BJZ-11.tif" TargetMode="External"/><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17</Pages>
  <Words>2539</Words>
  <Characters>14477</Characters>
  <Application>Microsoft Office Word</Application>
  <DocSecurity>0</DocSecurity>
  <Lines>120</Lines>
  <Paragraphs>33</Paragraphs>
  <ScaleCrop>false</ScaleCrop>
  <Company>Microsoft</Company>
  <LinksUpToDate>false</LinksUpToDate>
  <CharactersWithSpaces>16983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2025-08-07T07:07:00Z</dcterms:created>
  <dcterms:modified xsi:type="dcterms:W3CDTF">2025-08-07T07:48:00Z</dcterms:modified>
</cp:coreProperties>
</file>